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88" w:type="pct"/>
        <w:jc w:val="center"/>
        <w:tblLook w:val="04A0" w:firstRow="1" w:lastRow="0" w:firstColumn="1" w:lastColumn="0" w:noHBand="0" w:noVBand="1"/>
      </w:tblPr>
      <w:tblGrid>
        <w:gridCol w:w="12933"/>
      </w:tblGrid>
      <w:tr w:rsidR="0068770C" w14:paraId="46DF8A1A" w14:textId="77777777" w:rsidTr="00C862F4">
        <w:trPr>
          <w:trHeight w:val="1882"/>
          <w:jc w:val="center"/>
        </w:trPr>
        <w:tc>
          <w:tcPr>
            <w:tcW w:w="5000" w:type="pct"/>
          </w:tcPr>
          <w:tbl>
            <w:tblPr>
              <w:tblW w:w="10804" w:type="dxa"/>
              <w:jc w:val="center"/>
              <w:tblLook w:val="04A0" w:firstRow="1" w:lastRow="0" w:firstColumn="1" w:lastColumn="0" w:noHBand="0" w:noVBand="1"/>
            </w:tblPr>
            <w:tblGrid>
              <w:gridCol w:w="10804"/>
            </w:tblGrid>
            <w:tr w:rsidR="00A51490" w:rsidRPr="00A51490" w14:paraId="1D169F97" w14:textId="77777777" w:rsidTr="00C862F4">
              <w:trPr>
                <w:trHeight w:val="332"/>
                <w:jc w:val="center"/>
              </w:trPr>
              <w:sdt>
                <w:sdtPr>
                  <w:rPr>
                    <w:rFonts w:ascii="Verdana" w:eastAsiaTheme="majorEastAsia" w:hAnsi="Verdana" w:cstheme="majorBidi"/>
                    <w:b/>
                    <w:sz w:val="70"/>
                    <w:szCs w:val="70"/>
                    <w:lang w:val="el-GR"/>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31E79A49" w14:textId="205D2269" w:rsidR="00A51490" w:rsidRPr="00A51490" w:rsidRDefault="009F6F0F" w:rsidP="00C862F4">
                      <w:pPr>
                        <w:pStyle w:val="NoSpacing"/>
                        <w:jc w:val="center"/>
                        <w:rPr>
                          <w:rFonts w:ascii="Verdana" w:hAnsi="Verdana"/>
                          <w:b/>
                          <w:lang w:val="el-GR"/>
                        </w:rPr>
                      </w:pPr>
                      <w:r>
                        <w:rPr>
                          <w:rFonts w:ascii="Verdana" w:eastAsiaTheme="majorEastAsia" w:hAnsi="Verdana" w:cstheme="majorBidi"/>
                          <w:b/>
                          <w:sz w:val="70"/>
                          <w:szCs w:val="70"/>
                          <w:lang w:val="el-GR"/>
                        </w:rPr>
                        <w:t xml:space="preserve">Συνοπτικές </w:t>
                      </w:r>
                      <w:r w:rsidR="00C862F4">
                        <w:rPr>
                          <w:rFonts w:ascii="Verdana" w:eastAsiaTheme="majorEastAsia" w:hAnsi="Verdana" w:cstheme="majorBidi"/>
                          <w:b/>
                          <w:sz w:val="70"/>
                          <w:szCs w:val="70"/>
                          <w:lang w:val="el-GR"/>
                        </w:rPr>
                        <w:t>Πληροφορίες</w:t>
                      </w:r>
                    </w:p>
                  </w:tc>
                </w:sdtContent>
              </w:sdt>
            </w:tr>
          </w:tbl>
          <w:p w14:paraId="13726126" w14:textId="77777777" w:rsidR="00C862F4" w:rsidRPr="00C862F4" w:rsidRDefault="00C862F4" w:rsidP="00C862F4">
            <w:pPr>
              <w:tabs>
                <w:tab w:val="left" w:pos="4646"/>
              </w:tabs>
              <w:spacing w:after="0" w:line="240" w:lineRule="auto"/>
              <w:jc w:val="center"/>
              <w:rPr>
                <w:rFonts w:ascii="Verdana" w:eastAsiaTheme="majorEastAsia" w:hAnsi="Verdana" w:cstheme="majorBidi"/>
                <w:sz w:val="32"/>
                <w:szCs w:val="44"/>
              </w:rPr>
            </w:pPr>
          </w:p>
          <w:p w14:paraId="60C38718" w14:textId="6DBB43CA" w:rsidR="00A51490" w:rsidRPr="00D550AE" w:rsidRDefault="00A51490" w:rsidP="00C862F4">
            <w:pPr>
              <w:tabs>
                <w:tab w:val="left" w:pos="4646"/>
              </w:tabs>
              <w:spacing w:after="0" w:line="240" w:lineRule="auto"/>
              <w:jc w:val="center"/>
              <w:rPr>
                <w:rFonts w:ascii="Verdana" w:eastAsiaTheme="majorEastAsia" w:hAnsi="Verdana" w:cstheme="majorBidi"/>
                <w:sz w:val="36"/>
                <w:szCs w:val="36"/>
              </w:rPr>
            </w:pPr>
            <w:r w:rsidRPr="00D550AE">
              <w:rPr>
                <w:rFonts w:ascii="Verdana" w:eastAsiaTheme="majorEastAsia" w:hAnsi="Verdana" w:cstheme="majorBidi"/>
                <w:sz w:val="36"/>
                <w:szCs w:val="36"/>
              </w:rPr>
              <w:t xml:space="preserve">για </w:t>
            </w:r>
            <w:r w:rsidR="009F6F0F" w:rsidRPr="00D550AE">
              <w:rPr>
                <w:rFonts w:ascii="Verdana" w:eastAsiaTheme="majorEastAsia" w:hAnsi="Verdana" w:cstheme="majorBidi"/>
                <w:sz w:val="36"/>
                <w:szCs w:val="36"/>
              </w:rPr>
              <w:t>τις</w:t>
            </w:r>
            <w:r w:rsidR="00C862F4" w:rsidRPr="00D550AE">
              <w:rPr>
                <w:rFonts w:ascii="Verdana" w:eastAsiaTheme="majorEastAsia" w:hAnsi="Verdana" w:cstheme="majorBidi"/>
                <w:sz w:val="36"/>
                <w:szCs w:val="36"/>
              </w:rPr>
              <w:t xml:space="preserve"> </w:t>
            </w:r>
            <w:r w:rsidR="009F6F0F" w:rsidRPr="00D550AE">
              <w:rPr>
                <w:rFonts w:ascii="Verdana" w:eastAsiaTheme="majorEastAsia" w:hAnsi="Verdana" w:cstheme="majorBidi"/>
                <w:sz w:val="36"/>
                <w:szCs w:val="36"/>
              </w:rPr>
              <w:t>ετήσιες έρευνες</w:t>
            </w:r>
          </w:p>
          <w:p w14:paraId="5B4BBCA4" w14:textId="77777777" w:rsidR="00C862F4" w:rsidRPr="00D550AE" w:rsidRDefault="00C862F4" w:rsidP="00C862F4">
            <w:pPr>
              <w:tabs>
                <w:tab w:val="left" w:pos="4646"/>
              </w:tabs>
              <w:spacing w:after="0" w:line="240" w:lineRule="auto"/>
              <w:jc w:val="center"/>
              <w:rPr>
                <w:rFonts w:ascii="Verdana" w:eastAsiaTheme="majorEastAsia" w:hAnsi="Verdana" w:cstheme="majorBidi"/>
                <w:sz w:val="36"/>
                <w:szCs w:val="36"/>
              </w:rPr>
            </w:pPr>
          </w:p>
          <w:p w14:paraId="6CD6A313" w14:textId="12CB20AF" w:rsidR="009F6F0F" w:rsidRPr="00D550AE" w:rsidRDefault="009F6F0F" w:rsidP="00C862F4">
            <w:pPr>
              <w:pStyle w:val="NoSpacing"/>
              <w:spacing w:line="360" w:lineRule="auto"/>
              <w:jc w:val="center"/>
              <w:rPr>
                <w:rFonts w:ascii="Calibri" w:eastAsia="Arial Unicode MS" w:hAnsi="Calibri" w:cs="Arial Unicode MS"/>
                <w:b/>
                <w:sz w:val="36"/>
                <w:szCs w:val="36"/>
                <w:lang w:val="el-GR"/>
              </w:rPr>
            </w:pPr>
            <w:r w:rsidRPr="00D550AE">
              <w:rPr>
                <w:rFonts w:ascii="Verdana" w:eastAsiaTheme="majorEastAsia" w:hAnsi="Verdana" w:cstheme="majorBidi"/>
                <w:sz w:val="36"/>
                <w:szCs w:val="36"/>
                <w:lang w:val="el-GR"/>
              </w:rPr>
              <w:t>Ξένων Ά</w:t>
            </w:r>
            <w:r w:rsidR="00A51490" w:rsidRPr="00D550AE">
              <w:rPr>
                <w:rFonts w:ascii="Verdana" w:eastAsiaTheme="majorEastAsia" w:hAnsi="Verdana" w:cstheme="majorBidi"/>
                <w:sz w:val="36"/>
                <w:szCs w:val="36"/>
                <w:lang w:val="el-GR"/>
              </w:rPr>
              <w:t xml:space="preserve">μεσων </w:t>
            </w:r>
            <w:r w:rsidRPr="00D550AE">
              <w:rPr>
                <w:rFonts w:ascii="Verdana" w:eastAsiaTheme="majorEastAsia" w:hAnsi="Verdana" w:cstheme="majorBidi"/>
                <w:sz w:val="36"/>
                <w:szCs w:val="36"/>
                <w:lang w:val="el-GR"/>
              </w:rPr>
              <w:t>Ε</w:t>
            </w:r>
            <w:r w:rsidR="00A51490" w:rsidRPr="00D550AE">
              <w:rPr>
                <w:rFonts w:ascii="Verdana" w:eastAsiaTheme="majorEastAsia" w:hAnsi="Verdana" w:cstheme="majorBidi"/>
                <w:sz w:val="36"/>
                <w:szCs w:val="36"/>
                <w:lang w:val="el-GR"/>
              </w:rPr>
              <w:t>πενδύσεων</w:t>
            </w:r>
            <w:r w:rsidR="00F51725" w:rsidRPr="00D550AE">
              <w:rPr>
                <w:rFonts w:ascii="Verdana" w:eastAsiaTheme="majorEastAsia" w:hAnsi="Verdana" w:cstheme="majorBidi"/>
                <w:sz w:val="36"/>
                <w:szCs w:val="36"/>
                <w:lang w:val="el-GR"/>
              </w:rPr>
              <w:t xml:space="preserve"> (</w:t>
            </w:r>
            <w:r w:rsidR="00F51725" w:rsidRPr="00D550AE">
              <w:rPr>
                <w:rFonts w:ascii="Verdana" w:eastAsiaTheme="majorEastAsia" w:hAnsi="Verdana" w:cstheme="majorBidi"/>
                <w:sz w:val="36"/>
                <w:szCs w:val="36"/>
              </w:rPr>
              <w:t>FDI</w:t>
            </w:r>
            <w:r w:rsidR="00F51725" w:rsidRPr="00D550AE">
              <w:rPr>
                <w:rFonts w:ascii="Verdana" w:eastAsiaTheme="majorEastAsia" w:hAnsi="Verdana" w:cstheme="majorBidi"/>
                <w:sz w:val="36"/>
                <w:szCs w:val="36"/>
                <w:lang w:val="el-GR"/>
              </w:rPr>
              <w:t>)</w:t>
            </w:r>
            <w:r w:rsidRPr="00D550AE">
              <w:rPr>
                <w:rFonts w:ascii="Verdana" w:eastAsiaTheme="majorEastAsia" w:hAnsi="Verdana" w:cstheme="majorBidi"/>
                <w:sz w:val="36"/>
                <w:szCs w:val="36"/>
                <w:lang w:val="el-GR"/>
              </w:rPr>
              <w:t>,</w:t>
            </w:r>
            <w:r w:rsidRPr="00D550AE">
              <w:rPr>
                <w:rFonts w:ascii="Calibri" w:eastAsia="Arial Unicode MS" w:hAnsi="Calibri" w:cs="Arial Unicode MS"/>
                <w:b/>
                <w:sz w:val="36"/>
                <w:szCs w:val="36"/>
                <w:lang w:val="el-GR"/>
              </w:rPr>
              <w:t xml:space="preserve"> </w:t>
            </w:r>
          </w:p>
          <w:p w14:paraId="48227B89" w14:textId="7B9CF157" w:rsidR="00A51490" w:rsidRPr="00D550AE" w:rsidRDefault="009F6F0F" w:rsidP="00C862F4">
            <w:pPr>
              <w:pStyle w:val="NoSpacing"/>
              <w:spacing w:line="360" w:lineRule="auto"/>
              <w:jc w:val="center"/>
              <w:rPr>
                <w:rFonts w:ascii="Verdana" w:eastAsiaTheme="majorEastAsia" w:hAnsi="Verdana" w:cstheme="majorBidi"/>
                <w:sz w:val="36"/>
                <w:szCs w:val="36"/>
                <w:lang w:val="el-GR"/>
              </w:rPr>
            </w:pPr>
            <w:r w:rsidRPr="00D550AE">
              <w:rPr>
                <w:rFonts w:ascii="Verdana" w:eastAsiaTheme="majorEastAsia" w:hAnsi="Verdana" w:cstheme="majorBidi"/>
                <w:sz w:val="36"/>
                <w:szCs w:val="36"/>
                <w:lang w:val="el-GR"/>
              </w:rPr>
              <w:t>Αλλοδαπών Συνδεόμενων Επιχειρήσεων</w:t>
            </w:r>
            <w:r w:rsidR="00F51725" w:rsidRPr="00D550AE">
              <w:rPr>
                <w:rFonts w:ascii="Verdana" w:eastAsiaTheme="majorEastAsia" w:hAnsi="Verdana" w:cstheme="majorBidi"/>
                <w:sz w:val="36"/>
                <w:szCs w:val="36"/>
                <w:lang w:val="el-GR"/>
              </w:rPr>
              <w:t xml:space="preserve"> (</w:t>
            </w:r>
            <w:r w:rsidR="00F51725" w:rsidRPr="00D550AE">
              <w:rPr>
                <w:rFonts w:ascii="Verdana" w:eastAsiaTheme="majorEastAsia" w:hAnsi="Verdana" w:cstheme="majorBidi"/>
                <w:sz w:val="36"/>
                <w:szCs w:val="36"/>
              </w:rPr>
              <w:t>OFATS</w:t>
            </w:r>
            <w:r w:rsidR="00F51725" w:rsidRPr="00D550AE">
              <w:rPr>
                <w:rFonts w:ascii="Verdana" w:eastAsiaTheme="majorEastAsia" w:hAnsi="Verdana" w:cstheme="majorBidi"/>
                <w:sz w:val="36"/>
                <w:szCs w:val="36"/>
                <w:lang w:val="el-GR"/>
              </w:rPr>
              <w:t>)</w:t>
            </w:r>
            <w:r w:rsidRPr="00D550AE">
              <w:rPr>
                <w:rFonts w:ascii="Verdana" w:eastAsiaTheme="majorEastAsia" w:hAnsi="Verdana" w:cstheme="majorBidi"/>
                <w:sz w:val="36"/>
                <w:szCs w:val="36"/>
                <w:lang w:val="el-GR"/>
              </w:rPr>
              <w:t>,</w:t>
            </w:r>
          </w:p>
          <w:p w14:paraId="77439C67" w14:textId="05ACB720" w:rsidR="009F6F0F" w:rsidRPr="00D550AE" w:rsidRDefault="009F6F0F" w:rsidP="00C862F4">
            <w:pPr>
              <w:pStyle w:val="NoSpacing"/>
              <w:spacing w:line="360" w:lineRule="auto"/>
              <w:jc w:val="center"/>
              <w:rPr>
                <w:rFonts w:ascii="Verdana" w:eastAsiaTheme="majorEastAsia" w:hAnsi="Verdana" w:cstheme="majorBidi"/>
                <w:sz w:val="36"/>
                <w:szCs w:val="36"/>
                <w:lang w:val="el-GR"/>
              </w:rPr>
            </w:pPr>
            <w:r w:rsidRPr="00D550AE">
              <w:rPr>
                <w:rFonts w:ascii="Verdana" w:eastAsiaTheme="majorEastAsia" w:hAnsi="Verdana" w:cstheme="majorBidi"/>
                <w:sz w:val="36"/>
                <w:szCs w:val="36"/>
                <w:lang w:val="el-GR"/>
              </w:rPr>
              <w:t>Απαιτήσεων-Υποχρεώσεων</w:t>
            </w:r>
            <w:r w:rsidR="00F51725" w:rsidRPr="00D550AE">
              <w:rPr>
                <w:rFonts w:ascii="Verdana" w:eastAsiaTheme="majorEastAsia" w:hAnsi="Verdana" w:cstheme="majorBidi"/>
                <w:sz w:val="36"/>
                <w:szCs w:val="36"/>
                <w:lang w:val="el-GR"/>
              </w:rPr>
              <w:t xml:space="preserve"> έναντι εξωτερικού (</w:t>
            </w:r>
            <w:r w:rsidR="00F51725" w:rsidRPr="00D550AE">
              <w:rPr>
                <w:rFonts w:ascii="Verdana" w:eastAsiaTheme="majorEastAsia" w:hAnsi="Verdana" w:cstheme="majorBidi"/>
                <w:sz w:val="36"/>
                <w:szCs w:val="36"/>
              </w:rPr>
              <w:t>A</w:t>
            </w:r>
            <w:r w:rsidR="00F51725" w:rsidRPr="00D550AE">
              <w:rPr>
                <w:rFonts w:ascii="Verdana" w:eastAsiaTheme="majorEastAsia" w:hAnsi="Verdana" w:cstheme="majorBidi"/>
                <w:sz w:val="36"/>
                <w:szCs w:val="36"/>
                <w:lang w:val="el-GR"/>
              </w:rPr>
              <w:t>/</w:t>
            </w:r>
            <w:r w:rsidR="00F51725" w:rsidRPr="00D550AE">
              <w:rPr>
                <w:rFonts w:ascii="Verdana" w:eastAsiaTheme="majorEastAsia" w:hAnsi="Verdana" w:cstheme="majorBidi"/>
                <w:sz w:val="36"/>
                <w:szCs w:val="36"/>
              </w:rPr>
              <w:t>L</w:t>
            </w:r>
            <w:r w:rsidR="00F51725" w:rsidRPr="00D550AE">
              <w:rPr>
                <w:rFonts w:ascii="Verdana" w:eastAsiaTheme="majorEastAsia" w:hAnsi="Verdana" w:cstheme="majorBidi"/>
                <w:sz w:val="36"/>
                <w:szCs w:val="36"/>
                <w:lang w:val="el-GR"/>
              </w:rPr>
              <w:t>)</w:t>
            </w:r>
          </w:p>
          <w:p w14:paraId="6DEA0C1C" w14:textId="77777777" w:rsidR="0068770C" w:rsidRPr="009E0307" w:rsidRDefault="0068770C" w:rsidP="00114081">
            <w:pPr>
              <w:pStyle w:val="NoSpacing"/>
              <w:jc w:val="center"/>
              <w:rPr>
                <w:rFonts w:asciiTheme="majorHAnsi" w:eastAsiaTheme="majorEastAsia" w:hAnsiTheme="majorHAnsi" w:cstheme="majorBidi"/>
                <w:caps/>
                <w:lang w:val="el-GR"/>
              </w:rPr>
            </w:pPr>
          </w:p>
        </w:tc>
      </w:tr>
      <w:tr w:rsidR="005C0E46" w14:paraId="1370623A" w14:textId="77777777" w:rsidTr="00C862F4">
        <w:trPr>
          <w:trHeight w:val="2656"/>
          <w:jc w:val="center"/>
        </w:trPr>
        <w:tc>
          <w:tcPr>
            <w:tcW w:w="5000" w:type="pct"/>
          </w:tcPr>
          <w:p w14:paraId="08C1F212" w14:textId="77777777" w:rsidR="005C0E46" w:rsidRDefault="00A51490" w:rsidP="008B6B60">
            <w:pPr>
              <w:pStyle w:val="NoSpacing"/>
              <w:jc w:val="both"/>
              <w:rPr>
                <w:rFonts w:asciiTheme="majorHAnsi" w:eastAsiaTheme="majorEastAsia" w:hAnsiTheme="majorHAnsi" w:cstheme="majorBidi"/>
                <w:caps/>
              </w:rPr>
            </w:pPr>
            <w:r>
              <w:rPr>
                <w:rFonts w:ascii="Verdana" w:eastAsiaTheme="majorEastAsia" w:hAnsi="Verdana" w:cstheme="majorBidi"/>
                <w:noProof/>
                <w:sz w:val="44"/>
                <w:szCs w:val="44"/>
                <w:lang w:eastAsia="en-US"/>
              </w:rPr>
              <w:drawing>
                <wp:inline distT="0" distB="0" distL="0" distR="0" wp14:anchorId="14509696" wp14:editId="72ADB242">
                  <wp:extent cx="7662930" cy="3928056"/>
                  <wp:effectExtent l="76200" t="76200" r="128905"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OldImage.jpg"/>
                          <pic:cNvPicPr/>
                        </pic:nvPicPr>
                        <pic:blipFill>
                          <a:blip r:embed="rId9">
                            <a:extLst>
                              <a:ext uri="{28A0092B-C50C-407E-A947-70E740481C1C}">
                                <a14:useLocalDpi xmlns:a14="http://schemas.microsoft.com/office/drawing/2010/main" val="0"/>
                              </a:ext>
                            </a:extLst>
                          </a:blip>
                          <a:stretch>
                            <a:fillRect/>
                          </a:stretch>
                        </pic:blipFill>
                        <pic:spPr>
                          <a:xfrm>
                            <a:off x="0" y="0"/>
                            <a:ext cx="7661982" cy="3927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5974FBB3" w14:textId="77777777" w:rsidR="001C5B92" w:rsidRDefault="001C5B92" w:rsidP="009E0307">
      <w:pPr>
        <w:pStyle w:val="NoSpacing"/>
        <w:jc w:val="center"/>
        <w:rPr>
          <w:rFonts w:ascii="Verdana" w:hAnsi="Verdana"/>
          <w:color w:val="999999"/>
          <w:sz w:val="26"/>
          <w:szCs w:val="26"/>
          <w:lang w:val="el-GR"/>
        </w:rPr>
      </w:pPr>
    </w:p>
    <w:p w14:paraId="77E8D771" w14:textId="77777777" w:rsidR="001C5B92" w:rsidRDefault="001C5B92" w:rsidP="009E0307">
      <w:pPr>
        <w:pStyle w:val="NoSpacing"/>
        <w:jc w:val="center"/>
        <w:rPr>
          <w:rFonts w:ascii="Verdana" w:hAnsi="Verdana"/>
          <w:color w:val="999999"/>
          <w:sz w:val="26"/>
          <w:szCs w:val="26"/>
          <w:lang w:val="el-GR"/>
        </w:rPr>
      </w:pPr>
    </w:p>
    <w:p w14:paraId="3A9E0CF3" w14:textId="77777777" w:rsidR="005C0E46" w:rsidRPr="001C5B92" w:rsidRDefault="00D402C4" w:rsidP="009E0307">
      <w:pPr>
        <w:pStyle w:val="NoSpacing"/>
        <w:jc w:val="center"/>
        <w:rPr>
          <w:lang w:val="el-GR"/>
        </w:rPr>
      </w:pPr>
      <w:r w:rsidRPr="00EC63A2">
        <w:rPr>
          <w:rFonts w:ascii="Verdana" w:hAnsi="Verdana"/>
          <w:color w:val="999999"/>
          <w:sz w:val="26"/>
          <w:szCs w:val="26"/>
          <w:lang w:val="el-GR"/>
        </w:rPr>
        <w:t>Απευθύνεται σε Φυσικά και Νομικά Πρόσωπα</w:t>
      </w:r>
    </w:p>
    <w:tbl>
      <w:tblPr>
        <w:tblpPr w:leftFromText="187" w:rightFromText="187" w:vertAnchor="page" w:horzAnchor="margin" w:tblpY="14413"/>
        <w:tblW w:w="5000" w:type="pct"/>
        <w:tblLook w:val="04A0" w:firstRow="1" w:lastRow="0" w:firstColumn="1" w:lastColumn="0" w:noHBand="0" w:noVBand="1"/>
      </w:tblPr>
      <w:tblGrid>
        <w:gridCol w:w="8522"/>
      </w:tblGrid>
      <w:tr w:rsidR="00077F53" w:rsidRPr="005C0E46" w14:paraId="76E55AD7" w14:textId="77777777" w:rsidTr="00077F53">
        <w:sdt>
          <w:sdtPr>
            <w:rPr>
              <w:rFonts w:ascii="Verdana" w:hAnsi="Verdana"/>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5C63ACB4" w14:textId="01375089" w:rsidR="00077F53" w:rsidRPr="001C5B92" w:rsidRDefault="009F6F0F" w:rsidP="009F6F0F">
                <w:pPr>
                  <w:pStyle w:val="NoSpacing"/>
                  <w:jc w:val="center"/>
                  <w:rPr>
                    <w:rFonts w:ascii="Verdana" w:hAnsi="Verdana"/>
                  </w:rPr>
                </w:pPr>
                <w:r>
                  <w:rPr>
                    <w:rFonts w:ascii="Verdana" w:hAnsi="Verdana"/>
                    <w:lang w:val="el-GR"/>
                  </w:rPr>
                  <w:t>2021</w:t>
                </w:r>
              </w:p>
            </w:tc>
          </w:sdtContent>
        </w:sdt>
      </w:tr>
    </w:tbl>
    <w:p w14:paraId="57DAE80F" w14:textId="77777777" w:rsidR="00931075" w:rsidRDefault="00931075" w:rsidP="008B6B60">
      <w:pPr>
        <w:jc w:val="both"/>
        <w:sectPr w:rsidR="00931075" w:rsidSect="002F30EA">
          <w:headerReference w:type="default" r:id="rId10"/>
          <w:footerReference w:type="even" r:id="rId11"/>
          <w:footerReference w:type="default" r:id="rId12"/>
          <w:headerReference w:type="first" r:id="rId13"/>
          <w:type w:val="continuous"/>
          <w:pgSz w:w="11906" w:h="16838"/>
          <w:pgMar w:top="2410" w:right="1800" w:bottom="993" w:left="1800" w:header="708" w:footer="764" w:gutter="0"/>
          <w:cols w:space="708"/>
          <w:docGrid w:linePitch="360"/>
        </w:sectPr>
      </w:pPr>
    </w:p>
    <w:p w14:paraId="04056E54" w14:textId="77777777" w:rsidR="00931075" w:rsidRDefault="00931075" w:rsidP="008B6B60">
      <w:pPr>
        <w:jc w:val="both"/>
        <w:sectPr w:rsidR="00931075" w:rsidSect="00931075">
          <w:headerReference w:type="default" r:id="rId14"/>
          <w:footerReference w:type="even" r:id="rId15"/>
          <w:pgSz w:w="11906" w:h="16838"/>
          <w:pgMar w:top="2410" w:right="1800" w:bottom="993" w:left="1800" w:header="708" w:footer="764" w:gutter="0"/>
          <w:cols w:space="708"/>
          <w:docGrid w:linePitch="360"/>
        </w:sectPr>
      </w:pPr>
    </w:p>
    <w:p w14:paraId="4A073F16" w14:textId="77777777" w:rsidR="00081C00" w:rsidRPr="00D76A2F" w:rsidRDefault="00081C00" w:rsidP="00081C00">
      <w:pPr>
        <w:pStyle w:val="Heading1"/>
        <w:numPr>
          <w:ilvl w:val="0"/>
          <w:numId w:val="2"/>
        </w:num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Γενικές Πληροφορίες</w:t>
      </w:r>
    </w:p>
    <w:p w14:paraId="4E90B280" w14:textId="77777777" w:rsidR="00081C00" w:rsidRPr="00F51725" w:rsidRDefault="00081C00" w:rsidP="00081C00">
      <w:pPr>
        <w:pStyle w:val="ListParagraph"/>
        <w:spacing w:before="120" w:after="120" w:line="360" w:lineRule="exact"/>
        <w:ind w:left="0"/>
        <w:contextualSpacing w:val="0"/>
        <w:rPr>
          <w:rFonts w:ascii="Calibri" w:eastAsia="Arial Unicode MS" w:hAnsi="Calibri" w:cs="Arial Unicode MS"/>
          <w:lang w:val="en-US"/>
        </w:rPr>
      </w:pPr>
    </w:p>
    <w:p w14:paraId="201CB87C" w14:textId="5280BA92"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 xml:space="preserve">Σκοπός </w:t>
      </w:r>
    </w:p>
    <w:p w14:paraId="08DE3AAD" w14:textId="344DB925" w:rsidR="00081C00" w:rsidRPr="00081C00"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Σκοπός </w:t>
      </w:r>
      <w:r>
        <w:rPr>
          <w:rFonts w:ascii="Calibri" w:eastAsia="Arial Unicode MS" w:hAnsi="Calibri" w:cs="Arial Unicode MS"/>
        </w:rPr>
        <w:t>των</w:t>
      </w:r>
      <w:r w:rsidRPr="00D76A2F">
        <w:rPr>
          <w:rFonts w:ascii="Calibri" w:eastAsia="Arial Unicode MS" w:hAnsi="Calibri" w:cs="Arial Unicode MS"/>
        </w:rPr>
        <w:t xml:space="preserve"> </w:t>
      </w:r>
      <w:r>
        <w:rPr>
          <w:rFonts w:ascii="Calibri" w:eastAsia="Arial Unicode MS" w:hAnsi="Calibri" w:cs="Arial Unicode MS"/>
        </w:rPr>
        <w:t>ερευνών</w:t>
      </w:r>
      <w:r w:rsidRPr="00D76A2F">
        <w:rPr>
          <w:rFonts w:ascii="Calibri" w:eastAsia="Arial Unicode MS" w:hAnsi="Calibri" w:cs="Arial Unicode MS"/>
        </w:rPr>
        <w:t xml:space="preserve"> είναι η ετήσια συλλογή των στατιστικών στοιχείων που αφορούν τις </w:t>
      </w:r>
      <w:r>
        <w:rPr>
          <w:rFonts w:ascii="Calibri" w:eastAsia="Arial Unicode MS" w:hAnsi="Calibri" w:cs="Arial Unicode MS"/>
        </w:rPr>
        <w:t xml:space="preserve">ξένες </w:t>
      </w:r>
      <w:r w:rsidRPr="00D76A2F">
        <w:rPr>
          <w:rFonts w:ascii="Calibri" w:eastAsia="Arial Unicode MS" w:hAnsi="Calibri" w:cs="Arial Unicode MS"/>
        </w:rPr>
        <w:t>άμεσες επενδύσεις</w:t>
      </w:r>
      <w:r>
        <w:rPr>
          <w:rFonts w:ascii="Calibri" w:eastAsia="Arial Unicode MS" w:hAnsi="Calibri" w:cs="Arial Unicode MS"/>
        </w:rPr>
        <w:t xml:space="preserve"> (έρευνα </w:t>
      </w:r>
      <w:r>
        <w:rPr>
          <w:rFonts w:ascii="Calibri" w:eastAsia="Arial Unicode MS" w:hAnsi="Calibri" w:cs="Arial Unicode MS"/>
          <w:lang w:val="en-US"/>
        </w:rPr>
        <w:t>FDI</w:t>
      </w:r>
      <w:r>
        <w:rPr>
          <w:rFonts w:ascii="Calibri" w:eastAsia="Arial Unicode MS" w:hAnsi="Calibri" w:cs="Arial Unicode MS"/>
        </w:rPr>
        <w:t xml:space="preserve">), </w:t>
      </w:r>
      <w:r w:rsidRPr="00081C00">
        <w:rPr>
          <w:rFonts w:ascii="Calibri" w:eastAsia="Arial Unicode MS" w:hAnsi="Calibri" w:cs="Arial Unicode MS"/>
        </w:rPr>
        <w:t>την</w:t>
      </w:r>
      <w:r>
        <w:rPr>
          <w:rFonts w:ascii="Calibri" w:eastAsia="Arial Unicode MS" w:hAnsi="Calibri" w:cs="Arial Unicode MS"/>
        </w:rPr>
        <w:t xml:space="preserve"> επέκταση των αλλοδαπών ελεγχόμενων επιχειρήσεων από θεσμικές μονάδες που είναι κάτοικοι Ελλάδας (έρευνα </w:t>
      </w:r>
      <w:r>
        <w:rPr>
          <w:rFonts w:ascii="Calibri" w:eastAsia="Arial Unicode MS" w:hAnsi="Calibri" w:cs="Arial Unicode MS"/>
          <w:lang w:val="en-US"/>
        </w:rPr>
        <w:t>OFATS</w:t>
      </w:r>
      <w:r>
        <w:rPr>
          <w:rFonts w:ascii="Calibri" w:eastAsia="Arial Unicode MS" w:hAnsi="Calibri" w:cs="Arial Unicode MS"/>
        </w:rPr>
        <w:t>)</w:t>
      </w:r>
      <w:r w:rsidRPr="00081C00">
        <w:rPr>
          <w:rFonts w:ascii="Calibri" w:eastAsia="Arial Unicode MS" w:hAnsi="Calibri" w:cs="Arial Unicode MS"/>
        </w:rPr>
        <w:t xml:space="preserve"> </w:t>
      </w:r>
      <w:r>
        <w:rPr>
          <w:rFonts w:ascii="Calibri" w:eastAsia="Arial Unicode MS" w:hAnsi="Calibri" w:cs="Arial Unicode MS"/>
        </w:rPr>
        <w:t xml:space="preserve">και τα </w:t>
      </w:r>
      <w:r w:rsidRPr="00081C00">
        <w:rPr>
          <w:rFonts w:ascii="Calibri" w:eastAsia="Arial Unicode MS" w:hAnsi="Calibri" w:cs="Arial Unicode MS"/>
        </w:rPr>
        <w:t xml:space="preserve">υπόλοιπα (stocks) απαιτήσεων-υποχρεώσεων </w:t>
      </w:r>
      <w:r>
        <w:rPr>
          <w:rFonts w:ascii="Calibri" w:eastAsia="Arial Unicode MS" w:hAnsi="Calibri" w:cs="Arial Unicode MS"/>
        </w:rPr>
        <w:t xml:space="preserve">κατοίκων </w:t>
      </w:r>
      <w:r w:rsidRPr="00081C00">
        <w:rPr>
          <w:rFonts w:ascii="Calibri" w:eastAsia="Arial Unicode MS" w:hAnsi="Calibri" w:cs="Arial Unicode MS"/>
        </w:rPr>
        <w:t>έναντι μη κατοίκων</w:t>
      </w:r>
      <w:r>
        <w:rPr>
          <w:rFonts w:ascii="Calibri" w:eastAsia="Arial Unicode MS" w:hAnsi="Calibri" w:cs="Arial Unicode MS"/>
        </w:rPr>
        <w:t xml:space="preserve"> (έρευνα </w:t>
      </w:r>
      <w:r w:rsidR="00666BA6">
        <w:rPr>
          <w:rFonts w:ascii="Calibri" w:eastAsia="Arial Unicode MS" w:hAnsi="Calibri" w:cs="Arial Unicode MS"/>
          <w:lang w:val="en-US"/>
        </w:rPr>
        <w:t>A</w:t>
      </w:r>
      <w:r w:rsidR="00666BA6" w:rsidRPr="00F51725">
        <w:rPr>
          <w:rFonts w:ascii="Calibri" w:eastAsia="Arial Unicode MS" w:hAnsi="Calibri" w:cs="Arial Unicode MS"/>
        </w:rPr>
        <w:t>/</w:t>
      </w:r>
      <w:r w:rsidR="00666BA6">
        <w:rPr>
          <w:rFonts w:ascii="Calibri" w:eastAsia="Arial Unicode MS" w:hAnsi="Calibri" w:cs="Arial Unicode MS"/>
          <w:lang w:val="en-US"/>
        </w:rPr>
        <w:t>L</w:t>
      </w:r>
      <w:r>
        <w:rPr>
          <w:rFonts w:ascii="Calibri" w:eastAsia="Arial Unicode MS" w:hAnsi="Calibri" w:cs="Arial Unicode MS"/>
        </w:rPr>
        <w:t>).</w:t>
      </w:r>
    </w:p>
    <w:p w14:paraId="507DB937" w14:textId="60BBA0B0" w:rsidR="00081C00"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Τα στοιχεία αυτά θα χρησιμοποιηθούν για την κατάρτιση στατιστικών δεδομένων που αφορούν τις Ξένες Άμεσες Επενδύσεις (Fo</w:t>
      </w:r>
      <w:r>
        <w:rPr>
          <w:rFonts w:ascii="Calibri" w:eastAsia="Arial Unicode MS" w:hAnsi="Calibri" w:cs="Arial Unicode MS"/>
        </w:rPr>
        <w:t xml:space="preserve">reign Direct Investment - FDI), </w:t>
      </w:r>
      <w:r w:rsidRPr="00D76A2F">
        <w:rPr>
          <w:rFonts w:ascii="Calibri" w:eastAsia="Arial Unicode MS" w:hAnsi="Calibri" w:cs="Arial Unicode MS"/>
        </w:rPr>
        <w:t>τη</w:t>
      </w:r>
      <w:r>
        <w:rPr>
          <w:rFonts w:ascii="Calibri" w:eastAsia="Arial Unicode MS" w:hAnsi="Calibri" w:cs="Arial Unicode MS"/>
        </w:rPr>
        <w:t xml:space="preserve"> Διεθνή Επενδυτική Θέση</w:t>
      </w:r>
      <w:r w:rsidRPr="00D76A2F">
        <w:rPr>
          <w:rFonts w:ascii="Calibri" w:eastAsia="Arial Unicode MS" w:hAnsi="Calibri" w:cs="Arial Unicode MS"/>
        </w:rPr>
        <w:t xml:space="preserve"> της χώρας,</w:t>
      </w:r>
      <w:r>
        <w:rPr>
          <w:rFonts w:ascii="Calibri" w:eastAsia="Arial Unicode MS" w:hAnsi="Calibri" w:cs="Arial Unicode MS"/>
        </w:rPr>
        <w:t xml:space="preserve"> το Ισοζύγιο</w:t>
      </w:r>
      <w:r w:rsidRPr="00D76A2F">
        <w:rPr>
          <w:rFonts w:ascii="Calibri" w:eastAsia="Arial Unicode MS" w:hAnsi="Calibri" w:cs="Arial Unicode MS"/>
        </w:rPr>
        <w:t xml:space="preserve"> Πληρωμών</w:t>
      </w:r>
      <w:r>
        <w:rPr>
          <w:rFonts w:ascii="Calibri" w:eastAsia="Arial Unicode MS" w:hAnsi="Calibri" w:cs="Arial Unicode MS"/>
        </w:rPr>
        <w:t>,</w:t>
      </w:r>
      <w:r w:rsidRPr="00D76A2F">
        <w:rPr>
          <w:rFonts w:ascii="Calibri" w:eastAsia="Arial Unicode MS" w:hAnsi="Calibri" w:cs="Arial Unicode MS"/>
        </w:rPr>
        <w:t xml:space="preserve"> </w:t>
      </w:r>
      <w:r w:rsidR="00666BA6">
        <w:rPr>
          <w:rFonts w:ascii="Calibri" w:eastAsia="Arial Unicode MS" w:hAnsi="Calibri" w:cs="Arial Unicode MS"/>
        </w:rPr>
        <w:t xml:space="preserve">τους </w:t>
      </w:r>
      <w:r w:rsidRPr="00D76A2F">
        <w:rPr>
          <w:rFonts w:ascii="Calibri" w:eastAsia="Arial Unicode MS" w:hAnsi="Calibri" w:cs="Arial Unicode MS"/>
        </w:rPr>
        <w:t>Εθνικ</w:t>
      </w:r>
      <w:r w:rsidR="00666BA6">
        <w:rPr>
          <w:rFonts w:ascii="Calibri" w:eastAsia="Arial Unicode MS" w:hAnsi="Calibri" w:cs="Arial Unicode MS"/>
        </w:rPr>
        <w:t>ούς</w:t>
      </w:r>
      <w:r w:rsidRPr="00D76A2F">
        <w:rPr>
          <w:rFonts w:ascii="Calibri" w:eastAsia="Arial Unicode MS" w:hAnsi="Calibri" w:cs="Arial Unicode MS"/>
        </w:rPr>
        <w:t xml:space="preserve"> Λογαριασμ</w:t>
      </w:r>
      <w:r w:rsidR="00666BA6">
        <w:rPr>
          <w:rFonts w:ascii="Calibri" w:eastAsia="Arial Unicode MS" w:hAnsi="Calibri" w:cs="Arial Unicode MS"/>
        </w:rPr>
        <w:t>ούς</w:t>
      </w:r>
      <w:r w:rsidRPr="00D76A2F">
        <w:rPr>
          <w:rFonts w:ascii="Calibri" w:eastAsia="Arial Unicode MS" w:hAnsi="Calibri" w:cs="Arial Unicode MS"/>
        </w:rPr>
        <w:t xml:space="preserve">, καθώς και για </w:t>
      </w:r>
      <w:r w:rsidR="00666BA6">
        <w:rPr>
          <w:rFonts w:ascii="Calibri" w:eastAsia="Arial Unicode MS" w:hAnsi="Calibri" w:cs="Arial Unicode MS"/>
        </w:rPr>
        <w:t xml:space="preserve">την επικαιροποίηση </w:t>
      </w:r>
      <w:r w:rsidRPr="00D76A2F">
        <w:rPr>
          <w:rFonts w:ascii="Calibri" w:eastAsia="Arial Unicode MS" w:hAnsi="Calibri" w:cs="Arial Unicode MS"/>
        </w:rPr>
        <w:t xml:space="preserve"> το</w:t>
      </w:r>
      <w:r w:rsidR="00666BA6">
        <w:rPr>
          <w:rFonts w:ascii="Calibri" w:eastAsia="Arial Unicode MS" w:hAnsi="Calibri" w:cs="Arial Unicode MS"/>
        </w:rPr>
        <w:t>υ</w:t>
      </w:r>
      <w:r w:rsidRPr="00D76A2F">
        <w:rPr>
          <w:rFonts w:ascii="Calibri" w:eastAsia="Arial Unicode MS" w:hAnsi="Calibri" w:cs="Arial Unicode MS"/>
        </w:rPr>
        <w:t xml:space="preserve"> Ευρωπαϊκ</w:t>
      </w:r>
      <w:r w:rsidR="00666BA6">
        <w:rPr>
          <w:rFonts w:ascii="Calibri" w:eastAsia="Arial Unicode MS" w:hAnsi="Calibri" w:cs="Arial Unicode MS"/>
        </w:rPr>
        <w:t>ού</w:t>
      </w:r>
      <w:r w:rsidRPr="00D76A2F">
        <w:rPr>
          <w:rFonts w:ascii="Calibri" w:eastAsia="Arial Unicode MS" w:hAnsi="Calibri" w:cs="Arial Unicode MS"/>
        </w:rPr>
        <w:t xml:space="preserve"> Μητρώ</w:t>
      </w:r>
      <w:r w:rsidR="00666BA6">
        <w:rPr>
          <w:rFonts w:ascii="Calibri" w:eastAsia="Arial Unicode MS" w:hAnsi="Calibri" w:cs="Arial Unicode MS"/>
        </w:rPr>
        <w:t>ου</w:t>
      </w:r>
      <w:r w:rsidRPr="00D76A2F">
        <w:rPr>
          <w:rFonts w:ascii="Calibri" w:eastAsia="Arial Unicode MS" w:hAnsi="Calibri" w:cs="Arial Unicode MS"/>
        </w:rPr>
        <w:t xml:space="preserve"> Επιχειρήσεων (European Groups Register - EGR).</w:t>
      </w:r>
    </w:p>
    <w:p w14:paraId="3FBED1BA" w14:textId="77777777" w:rsidR="00081C00" w:rsidRPr="00D76A2F" w:rsidRDefault="00081C00" w:rsidP="00081C00">
      <w:pPr>
        <w:spacing w:before="120" w:after="120" w:line="360" w:lineRule="exact"/>
        <w:jc w:val="both"/>
        <w:rPr>
          <w:rFonts w:ascii="Calibri" w:eastAsia="Arial Unicode MS" w:hAnsi="Calibri" w:cs="Arial Unicode MS"/>
        </w:rPr>
      </w:pPr>
    </w:p>
    <w:p w14:paraId="29C861E1"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Σε ποιους απευθύνεται</w:t>
      </w:r>
    </w:p>
    <w:p w14:paraId="075FC66A" w14:textId="17B4C6C6"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Η έρευνα </w:t>
      </w:r>
      <w:r w:rsidRPr="00081C00">
        <w:rPr>
          <w:rFonts w:ascii="Calibri" w:eastAsia="Arial Unicode MS" w:hAnsi="Calibri" w:cs="Arial Unicode MS"/>
          <w:b/>
        </w:rPr>
        <w:t>Ξένων Άμεσων Επενδύσεων</w:t>
      </w:r>
      <w:r>
        <w:rPr>
          <w:rFonts w:ascii="Calibri" w:eastAsia="Arial Unicode MS" w:hAnsi="Calibri" w:cs="Arial Unicode MS"/>
          <w:b/>
        </w:rPr>
        <w:t xml:space="preserve"> (</w:t>
      </w:r>
      <w:r>
        <w:rPr>
          <w:rFonts w:ascii="Calibri" w:eastAsia="Arial Unicode MS" w:hAnsi="Calibri" w:cs="Arial Unicode MS"/>
          <w:b/>
          <w:lang w:val="en-US"/>
        </w:rPr>
        <w:t>FDI</w:t>
      </w:r>
      <w:r>
        <w:rPr>
          <w:rFonts w:ascii="Calibri" w:eastAsia="Arial Unicode MS" w:hAnsi="Calibri" w:cs="Arial Unicode MS"/>
          <w:b/>
        </w:rPr>
        <w:t>)</w:t>
      </w:r>
      <w:r w:rsidRPr="00D76A2F">
        <w:rPr>
          <w:rFonts w:ascii="Calibri" w:eastAsia="Arial Unicode MS" w:hAnsi="Calibri" w:cs="Arial Unicode MS"/>
        </w:rPr>
        <w:t xml:space="preserve"> απευθύνεται σε κάθε φυσικό ή νομικό πρόσωπο </w:t>
      </w:r>
      <w:r>
        <w:rPr>
          <w:rFonts w:ascii="Calibri" w:eastAsia="Arial Unicode MS" w:hAnsi="Calibri" w:cs="Arial Unicode MS"/>
        </w:rPr>
        <w:t xml:space="preserve">κάτοικο </w:t>
      </w:r>
      <w:r w:rsidRPr="00D76A2F">
        <w:rPr>
          <w:rFonts w:ascii="Calibri" w:eastAsia="Arial Unicode MS" w:hAnsi="Calibri" w:cs="Arial Unicode MS"/>
        </w:rPr>
        <w:t>που έχει σχέση άμεσης επένδυσης με μη κάτοικο, είτε ως άμεσος επενδυτής, είτε ως επιχείρηση άμεσης επένδυσης:</w:t>
      </w:r>
    </w:p>
    <w:p w14:paraId="004B838A" w14:textId="78205C57" w:rsidR="00081C00" w:rsidRDefault="00081C00" w:rsidP="00103BF4">
      <w:pPr>
        <w:pStyle w:val="ListParagraph"/>
        <w:numPr>
          <w:ilvl w:val="0"/>
          <w:numId w:val="3"/>
        </w:numPr>
        <w:spacing w:before="120" w:after="120" w:line="360" w:lineRule="exact"/>
        <w:ind w:left="714" w:hanging="357"/>
        <w:contextualSpacing w:val="0"/>
        <w:jc w:val="both"/>
        <w:rPr>
          <w:rFonts w:ascii="Calibri" w:eastAsia="Arial Unicode MS" w:hAnsi="Calibri" w:cs="Arial Unicode MS"/>
        </w:rPr>
      </w:pPr>
      <w:r w:rsidRPr="00D76A2F">
        <w:rPr>
          <w:rFonts w:ascii="Calibri" w:eastAsia="Arial Unicode MS" w:hAnsi="Calibri" w:cs="Arial Unicode MS"/>
        </w:rPr>
        <w:t xml:space="preserve">εάν </w:t>
      </w:r>
      <w:r>
        <w:rPr>
          <w:rFonts w:ascii="Calibri" w:eastAsia="Arial Unicode MS" w:hAnsi="Calibri" w:cs="Arial Unicode MS"/>
        </w:rPr>
        <w:t>είναι θυγατρική ή συν</w:t>
      </w:r>
      <w:bookmarkStart w:id="0" w:name="_GoBack"/>
      <w:bookmarkEnd w:id="0"/>
      <w:r>
        <w:rPr>
          <w:rFonts w:ascii="Calibri" w:eastAsia="Arial Unicode MS" w:hAnsi="Calibri" w:cs="Arial Unicode MS"/>
        </w:rPr>
        <w:t xml:space="preserve">δεδεμένη επιχείρηση </w:t>
      </w:r>
      <w:r w:rsidR="003F593C">
        <w:rPr>
          <w:rFonts w:ascii="Calibri" w:eastAsia="Arial Unicode MS" w:hAnsi="Calibri" w:cs="Arial Unicode MS"/>
        </w:rPr>
        <w:t>μη κατοίκου,</w:t>
      </w:r>
      <w:r w:rsidR="005C7277">
        <w:rPr>
          <w:rFonts w:ascii="Calibri" w:eastAsia="Arial Unicode MS" w:hAnsi="Calibri" w:cs="Arial Unicode MS"/>
        </w:rPr>
        <w:t xml:space="preserve">  </w:t>
      </w:r>
    </w:p>
    <w:p w14:paraId="6C01ECFE" w14:textId="274A8B2F" w:rsidR="00081C00" w:rsidRPr="00081C00" w:rsidRDefault="00081C00" w:rsidP="00103BF4">
      <w:pPr>
        <w:pStyle w:val="ListParagraph"/>
        <w:numPr>
          <w:ilvl w:val="0"/>
          <w:numId w:val="3"/>
        </w:numPr>
        <w:rPr>
          <w:rFonts w:ascii="Calibri" w:eastAsia="Arial Unicode MS" w:hAnsi="Calibri" w:cs="Arial Unicode MS"/>
        </w:rPr>
      </w:pPr>
      <w:r w:rsidRPr="00232B53">
        <w:rPr>
          <w:rFonts w:ascii="Calibri" w:eastAsia="Arial Unicode MS" w:hAnsi="Calibri" w:cs="Arial Unicode MS"/>
        </w:rPr>
        <w:t xml:space="preserve">εάν </w:t>
      </w:r>
      <w:r>
        <w:rPr>
          <w:rFonts w:ascii="Calibri" w:eastAsia="Arial Unicode MS" w:hAnsi="Calibri" w:cs="Arial Unicode MS"/>
        </w:rPr>
        <w:t>έχει</w:t>
      </w:r>
      <w:r w:rsidRPr="00232B53">
        <w:rPr>
          <w:rFonts w:ascii="Calibri" w:eastAsia="Arial Unicode MS" w:hAnsi="Calibri" w:cs="Arial Unicode MS"/>
        </w:rPr>
        <w:t xml:space="preserve"> θυγατρική ή συνδεδεμένη επιχείρηση μη </w:t>
      </w:r>
      <w:r>
        <w:rPr>
          <w:rFonts w:ascii="Calibri" w:eastAsia="Arial Unicode MS" w:hAnsi="Calibri" w:cs="Arial Unicode MS"/>
        </w:rPr>
        <w:t>κάτοικο</w:t>
      </w:r>
      <w:r w:rsidR="003F593C">
        <w:rPr>
          <w:rFonts w:ascii="Calibri" w:eastAsia="Arial Unicode MS" w:hAnsi="Calibri" w:cs="Arial Unicode MS"/>
        </w:rPr>
        <w:t>,</w:t>
      </w:r>
    </w:p>
    <w:p w14:paraId="3A2A78C3" w14:textId="6588FE48" w:rsidR="00081C00" w:rsidRPr="00D76A2F" w:rsidRDefault="00081C00" w:rsidP="00103BF4">
      <w:pPr>
        <w:pStyle w:val="ListParagraph"/>
        <w:numPr>
          <w:ilvl w:val="0"/>
          <w:numId w:val="3"/>
        </w:numPr>
        <w:spacing w:before="120" w:after="120" w:line="360" w:lineRule="exact"/>
        <w:ind w:left="714" w:hanging="357"/>
        <w:contextualSpacing w:val="0"/>
        <w:jc w:val="both"/>
      </w:pPr>
      <w:r w:rsidRPr="00D76A2F">
        <w:rPr>
          <w:rFonts w:ascii="Calibri" w:eastAsia="Arial Unicode MS" w:hAnsi="Calibri" w:cs="Arial Unicode MS"/>
        </w:rPr>
        <w:t xml:space="preserve">εάν είναι υποκατάστημα </w:t>
      </w:r>
      <w:r>
        <w:rPr>
          <w:rFonts w:ascii="Calibri" w:eastAsia="Arial Unicode MS" w:hAnsi="Calibri" w:cs="Arial Unicode MS"/>
        </w:rPr>
        <w:t>που</w:t>
      </w:r>
      <w:r w:rsidRPr="00D76A2F">
        <w:rPr>
          <w:rFonts w:ascii="Calibri" w:eastAsia="Arial Unicode MS" w:hAnsi="Calibri" w:cs="Arial Unicode MS"/>
        </w:rPr>
        <w:t xml:space="preserve"> υπόκειται σε αλλοδαπή μητρική</w:t>
      </w:r>
      <w:r>
        <w:rPr>
          <w:rFonts w:ascii="Calibri" w:eastAsia="Arial Unicode MS" w:hAnsi="Calibri" w:cs="Arial Unicode MS"/>
        </w:rPr>
        <w:t xml:space="preserve"> ή </w:t>
      </w:r>
      <w:r w:rsidRPr="00D76A2F">
        <w:rPr>
          <w:rFonts w:ascii="Calibri" w:eastAsia="Arial Unicode MS" w:hAnsi="Calibri" w:cs="Arial Unicode MS"/>
        </w:rPr>
        <w:t>κατέχει υποκατάστημα στην αλλοδαπή</w:t>
      </w:r>
      <w:r w:rsidR="003F593C">
        <w:rPr>
          <w:rFonts w:ascii="Calibri" w:eastAsia="Arial Unicode MS" w:hAnsi="Calibri" w:cs="Arial Unicode MS"/>
        </w:rPr>
        <w:t>,</w:t>
      </w:r>
    </w:p>
    <w:p w14:paraId="0A67A211" w14:textId="17271E10" w:rsidR="00081C00" w:rsidRDefault="00081C00" w:rsidP="00103BF4">
      <w:pPr>
        <w:pStyle w:val="ListParagraph"/>
        <w:numPr>
          <w:ilvl w:val="0"/>
          <w:numId w:val="3"/>
        </w:numPr>
        <w:spacing w:before="120" w:after="120" w:line="360" w:lineRule="exact"/>
        <w:ind w:left="714" w:hanging="357"/>
        <w:contextualSpacing w:val="0"/>
        <w:jc w:val="both"/>
        <w:rPr>
          <w:rFonts w:ascii="Calibri" w:eastAsia="Arial Unicode MS" w:hAnsi="Calibri" w:cs="Arial Unicode MS"/>
        </w:rPr>
      </w:pPr>
      <w:r w:rsidRPr="00D76A2F">
        <w:rPr>
          <w:rFonts w:ascii="Calibri" w:eastAsia="Arial Unicode MS" w:hAnsi="Calibri" w:cs="Arial Unicode MS"/>
        </w:rPr>
        <w:t xml:space="preserve">εάν υπάρχουν συμμετοχές </w:t>
      </w:r>
      <w:r>
        <w:rPr>
          <w:rFonts w:ascii="Calibri" w:eastAsia="Arial Unicode MS" w:hAnsi="Calibri" w:cs="Arial Unicode MS"/>
        </w:rPr>
        <w:t>(</w:t>
      </w:r>
      <w:r w:rsidRPr="00D76A2F">
        <w:rPr>
          <w:rFonts w:ascii="Calibri" w:eastAsia="Arial Unicode MS" w:hAnsi="Calibri" w:cs="Arial Unicode MS"/>
        </w:rPr>
        <w:t>κάτω του 10%</w:t>
      </w:r>
      <w:r>
        <w:rPr>
          <w:rFonts w:ascii="Calibri" w:eastAsia="Arial Unicode MS" w:hAnsi="Calibri" w:cs="Arial Unicode MS"/>
        </w:rPr>
        <w:t>)</w:t>
      </w:r>
      <w:r w:rsidRPr="00D76A2F">
        <w:rPr>
          <w:rFonts w:ascii="Calibri" w:eastAsia="Arial Unicode MS" w:hAnsi="Calibri" w:cs="Arial Unicode MS"/>
        </w:rPr>
        <w:t xml:space="preserve"> ή τοποθετήσεις σε χρεωστικά μέσα με αδελφές επιχειρήσεις μη κατοίκους</w:t>
      </w:r>
      <w:r>
        <w:rPr>
          <w:rFonts w:ascii="Calibri" w:eastAsia="Arial Unicode MS" w:hAnsi="Calibri" w:cs="Arial Unicode MS"/>
        </w:rPr>
        <w:t>.</w:t>
      </w:r>
    </w:p>
    <w:p w14:paraId="4095482A" w14:textId="0D739B8A" w:rsidR="00081C00" w:rsidRPr="00081C00" w:rsidRDefault="00081C00" w:rsidP="00081C00">
      <w:pPr>
        <w:spacing w:before="120" w:after="120" w:line="360" w:lineRule="exact"/>
        <w:jc w:val="both"/>
        <w:rPr>
          <w:rFonts w:ascii="Calibri" w:eastAsia="Arial Unicode MS" w:hAnsi="Calibri" w:cs="Arial Unicode MS"/>
        </w:rPr>
      </w:pPr>
      <w:r w:rsidRPr="00081C00">
        <w:rPr>
          <w:rFonts w:ascii="Calibri" w:eastAsia="Arial Unicode MS" w:hAnsi="Calibri" w:cs="Arial Unicode MS"/>
        </w:rPr>
        <w:t xml:space="preserve">Η έρευνα </w:t>
      </w:r>
      <w:r w:rsidRPr="00081C00">
        <w:rPr>
          <w:rFonts w:ascii="Calibri" w:eastAsia="Arial Unicode MS" w:hAnsi="Calibri" w:cs="Arial Unicode MS"/>
          <w:b/>
        </w:rPr>
        <w:t>Αλλοδαπών Συνδεόμενων Επιχειρήσεων (OFATS)</w:t>
      </w:r>
      <w:r w:rsidRPr="00081C00">
        <w:rPr>
          <w:rFonts w:ascii="Calibri" w:eastAsia="Arial Unicode MS" w:hAnsi="Calibri" w:cs="Arial Unicode MS"/>
        </w:rPr>
        <w:t xml:space="preserve"> απευθύνεται σε κάθε νομική οντότητα κάτοικο Ελλάδας: </w:t>
      </w:r>
    </w:p>
    <w:p w14:paraId="39FE4D8C" w14:textId="77777777" w:rsidR="00081C00" w:rsidRPr="00081C00" w:rsidRDefault="00081C00" w:rsidP="00081C00">
      <w:pPr>
        <w:pStyle w:val="ListParagraph"/>
        <w:spacing w:before="120" w:after="120" w:line="360" w:lineRule="exact"/>
        <w:jc w:val="both"/>
        <w:rPr>
          <w:rFonts w:ascii="Calibri" w:eastAsia="Arial Unicode MS" w:hAnsi="Calibri" w:cs="Arial Unicode MS"/>
        </w:rPr>
      </w:pPr>
      <w:r w:rsidRPr="00081C00">
        <w:rPr>
          <w:rFonts w:ascii="Calibri" w:eastAsia="Arial Unicode MS" w:hAnsi="Calibri" w:cs="Arial Unicode MS"/>
        </w:rPr>
        <w:t>α) που ασκεί έλεγχο (άμεσα ή έμμεσα) σε αλλοδαπές συνδεόμενες επιχειρήσεις και</w:t>
      </w:r>
    </w:p>
    <w:p w14:paraId="6BF1C8FA" w14:textId="708D3305" w:rsidR="00081C00" w:rsidRDefault="00081C00" w:rsidP="00081C00">
      <w:pPr>
        <w:pStyle w:val="ListParagraph"/>
        <w:spacing w:before="120" w:after="120" w:line="360" w:lineRule="exact"/>
        <w:jc w:val="both"/>
        <w:rPr>
          <w:rFonts w:ascii="Calibri" w:eastAsia="Arial Unicode MS" w:hAnsi="Calibri" w:cs="Arial Unicode MS"/>
        </w:rPr>
      </w:pPr>
      <w:r w:rsidRPr="00081C00">
        <w:rPr>
          <w:rFonts w:ascii="Calibri" w:eastAsia="Arial Unicode MS" w:hAnsi="Calibri" w:cs="Arial Unicode MS"/>
        </w:rPr>
        <w:t xml:space="preserve">β) είναι η τελική θεσμική μονάδα που τις ελέγχει (UCI). Η τελική θεσμική μονάδα ελέγχου (Ultimate Controlling Institutional Unit) είναι η θεσμική μονάδα που βρίσκεται στην κορυφή της αλυσίδας ελέγχου της αλλοδαπής συνδεόμενης επιχείρησης και δεν ελέγχεται από καμία άλλη θεσμική μονάδα. </w:t>
      </w:r>
    </w:p>
    <w:p w14:paraId="607A6DC8" w14:textId="18786341" w:rsidR="00081C00" w:rsidRPr="003F593C" w:rsidRDefault="00081C00" w:rsidP="00081C00">
      <w:pPr>
        <w:spacing w:before="120" w:after="120" w:line="360" w:lineRule="exact"/>
        <w:jc w:val="both"/>
        <w:rPr>
          <w:rFonts w:ascii="Calibri" w:eastAsia="Arial Unicode MS" w:hAnsi="Calibri" w:cs="Arial Unicode MS"/>
        </w:rPr>
      </w:pPr>
      <w:r w:rsidRPr="00081C00">
        <w:rPr>
          <w:rFonts w:ascii="Calibri" w:eastAsia="Arial Unicode MS" w:hAnsi="Calibri" w:cs="Arial Unicode MS"/>
        </w:rPr>
        <w:t xml:space="preserve">Η έρευνα </w:t>
      </w:r>
      <w:r>
        <w:rPr>
          <w:rFonts w:ascii="Calibri" w:eastAsia="Arial Unicode MS" w:hAnsi="Calibri" w:cs="Arial Unicode MS"/>
          <w:b/>
        </w:rPr>
        <w:t>Απαιτήσεων-Υποχρεώσεων</w:t>
      </w:r>
      <w:r w:rsidRPr="00081C00">
        <w:rPr>
          <w:rFonts w:ascii="Calibri" w:eastAsia="Arial Unicode MS" w:hAnsi="Calibri" w:cs="Arial Unicode MS"/>
          <w:b/>
        </w:rPr>
        <w:t xml:space="preserve"> </w:t>
      </w:r>
      <w:r w:rsidR="00E83165">
        <w:rPr>
          <w:rFonts w:ascii="Calibri" w:eastAsia="Arial Unicode MS" w:hAnsi="Calibri" w:cs="Arial Unicode MS"/>
          <w:b/>
        </w:rPr>
        <w:t xml:space="preserve">έναντι μη κατοίκων </w:t>
      </w:r>
      <w:r w:rsidRPr="00081C00">
        <w:rPr>
          <w:rFonts w:ascii="Calibri" w:eastAsia="Arial Unicode MS" w:hAnsi="Calibri" w:cs="Arial Unicode MS"/>
          <w:b/>
        </w:rPr>
        <w:t>(</w:t>
      </w:r>
      <w:r>
        <w:rPr>
          <w:rFonts w:ascii="Calibri" w:eastAsia="Arial Unicode MS" w:hAnsi="Calibri" w:cs="Arial Unicode MS"/>
          <w:b/>
          <w:lang w:val="en-US"/>
        </w:rPr>
        <w:t>A</w:t>
      </w:r>
      <w:r w:rsidR="00666BA6" w:rsidRPr="00F51725">
        <w:rPr>
          <w:rFonts w:ascii="Calibri" w:eastAsia="Arial Unicode MS" w:hAnsi="Calibri" w:cs="Arial Unicode MS"/>
          <w:b/>
        </w:rPr>
        <w:t>/</w:t>
      </w:r>
      <w:r w:rsidR="00666BA6">
        <w:rPr>
          <w:rFonts w:ascii="Calibri" w:eastAsia="Arial Unicode MS" w:hAnsi="Calibri" w:cs="Arial Unicode MS"/>
          <w:b/>
          <w:lang w:val="en-US"/>
        </w:rPr>
        <w:t>L</w:t>
      </w:r>
      <w:r w:rsidRPr="00081C00">
        <w:rPr>
          <w:rFonts w:ascii="Calibri" w:eastAsia="Arial Unicode MS" w:hAnsi="Calibri" w:cs="Arial Unicode MS"/>
          <w:b/>
        </w:rPr>
        <w:t>)</w:t>
      </w:r>
      <w:r w:rsidRPr="00081C00">
        <w:rPr>
          <w:rFonts w:ascii="Calibri" w:eastAsia="Arial Unicode MS" w:hAnsi="Calibri" w:cs="Arial Unicode MS"/>
        </w:rPr>
        <w:t xml:space="preserve"> απευθύνεται σε κάθε </w:t>
      </w:r>
      <w:r>
        <w:rPr>
          <w:rFonts w:ascii="Calibri" w:eastAsia="Arial Unicode MS" w:hAnsi="Calibri" w:cs="Arial Unicode MS"/>
        </w:rPr>
        <w:t>μη χρηματοπιστωτική επιχείρηση</w:t>
      </w:r>
      <w:r w:rsidRPr="00081C00">
        <w:rPr>
          <w:rFonts w:ascii="Calibri" w:eastAsia="Arial Unicode MS" w:hAnsi="Calibri" w:cs="Arial Unicode MS"/>
        </w:rPr>
        <w:t xml:space="preserve"> – </w:t>
      </w:r>
      <w:r>
        <w:rPr>
          <w:rFonts w:ascii="Calibri" w:eastAsia="Arial Unicode MS" w:hAnsi="Calibri" w:cs="Arial Unicode MS"/>
        </w:rPr>
        <w:t>κάτοικο</w:t>
      </w:r>
      <w:r w:rsidRPr="00081C00">
        <w:rPr>
          <w:rFonts w:ascii="Calibri" w:eastAsia="Arial Unicode MS" w:hAnsi="Calibri" w:cs="Arial Unicode MS"/>
        </w:rPr>
        <w:t xml:space="preserve"> </w:t>
      </w:r>
      <w:r>
        <w:rPr>
          <w:rFonts w:ascii="Calibri" w:eastAsia="Arial Unicode MS" w:hAnsi="Calibri" w:cs="Arial Unicode MS"/>
        </w:rPr>
        <w:t xml:space="preserve">που έχει χρηματοοικονομικά </w:t>
      </w:r>
      <w:r w:rsidRPr="00081C00">
        <w:rPr>
          <w:rFonts w:ascii="Calibri" w:eastAsia="Arial Unicode MS" w:hAnsi="Calibri" w:cs="Arial Unicode MS"/>
        </w:rPr>
        <w:t xml:space="preserve">αποθέματα/υπόλοιπα </w:t>
      </w:r>
      <w:r w:rsidRPr="003F593C">
        <w:rPr>
          <w:rFonts w:ascii="Calibri" w:eastAsia="Arial Unicode MS" w:hAnsi="Calibri" w:cs="Arial Unicode MS"/>
        </w:rPr>
        <w:t>(stocks) έναντι μη κατοίκων</w:t>
      </w:r>
      <w:r w:rsidR="003F593C" w:rsidRPr="003F593C">
        <w:rPr>
          <w:rFonts w:ascii="Calibri" w:eastAsia="Arial Unicode MS" w:hAnsi="Calibri" w:cs="Arial Unicode MS"/>
        </w:rPr>
        <w:t xml:space="preserve"> των παρακάτω κατηγοριών:</w:t>
      </w:r>
    </w:p>
    <w:p w14:paraId="02237483" w14:textId="4046BF7B" w:rsidR="003F593C" w:rsidRPr="003F593C" w:rsidRDefault="003F593C" w:rsidP="002824BF">
      <w:pPr>
        <w:pStyle w:val="ListParagraph"/>
        <w:numPr>
          <w:ilvl w:val="0"/>
          <w:numId w:val="5"/>
        </w:numPr>
        <w:spacing w:line="240" w:lineRule="auto"/>
        <w:rPr>
          <w:rFonts w:ascii="Calibri" w:hAnsi="Calibri"/>
        </w:rPr>
      </w:pPr>
      <w:bookmarkStart w:id="1" w:name="_Toc26263410"/>
      <w:r w:rsidRPr="003F593C">
        <w:rPr>
          <w:rFonts w:ascii="Calibri" w:hAnsi="Calibri"/>
        </w:rPr>
        <w:t>Επενδύσεις Χαρτοφυλακίου</w:t>
      </w:r>
      <w:bookmarkEnd w:id="1"/>
    </w:p>
    <w:p w14:paraId="25397373" w14:textId="77777777" w:rsidR="003F593C" w:rsidRPr="003F593C" w:rsidRDefault="003F593C" w:rsidP="002824BF">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Μετοχές και μερίδια εταιρειών επενδύσεων χαρτοφυλακίου</w:t>
      </w:r>
    </w:p>
    <w:p w14:paraId="280EBC8D" w14:textId="77777777" w:rsidR="003F593C" w:rsidRPr="003F593C" w:rsidRDefault="003F593C" w:rsidP="00103BF4">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Χρεόγραφα</w:t>
      </w:r>
    </w:p>
    <w:p w14:paraId="5864396C" w14:textId="0B1648E6" w:rsidR="003F593C" w:rsidRPr="003F593C" w:rsidRDefault="003F593C" w:rsidP="00103BF4">
      <w:pPr>
        <w:pStyle w:val="ListParagraph"/>
        <w:numPr>
          <w:ilvl w:val="0"/>
          <w:numId w:val="5"/>
        </w:numPr>
        <w:rPr>
          <w:rFonts w:ascii="Calibri" w:hAnsi="Calibri"/>
        </w:rPr>
      </w:pPr>
      <w:bookmarkStart w:id="2" w:name="_Toc26263411"/>
      <w:r w:rsidRPr="003F593C">
        <w:rPr>
          <w:rFonts w:ascii="Calibri" w:hAnsi="Calibri"/>
        </w:rPr>
        <w:t>Χρηματοοικονομικά Παράγωγα  και δικαιώματα υπαλλήλων προς απόκτηση μετοχών</w:t>
      </w:r>
      <w:bookmarkEnd w:id="2"/>
    </w:p>
    <w:p w14:paraId="17FBDA06" w14:textId="77777777" w:rsidR="003F593C" w:rsidRPr="00666BA6" w:rsidRDefault="003F593C" w:rsidP="00103BF4">
      <w:pPr>
        <w:pStyle w:val="Default"/>
        <w:numPr>
          <w:ilvl w:val="0"/>
          <w:numId w:val="4"/>
        </w:numPr>
        <w:ind w:left="1418" w:hanging="371"/>
        <w:jc w:val="both"/>
        <w:rPr>
          <w:rFonts w:ascii="Calibri" w:eastAsia="Arial Unicode MS" w:hAnsi="Calibri" w:cs="Calibri"/>
          <w:sz w:val="22"/>
          <w:szCs w:val="22"/>
          <w:lang w:val="en-US"/>
        </w:rPr>
      </w:pPr>
      <w:r w:rsidRPr="003F593C">
        <w:rPr>
          <w:rFonts w:ascii="Calibri" w:eastAsia="Arial Unicode MS" w:hAnsi="Calibri" w:cs="Calibri"/>
          <w:sz w:val="22"/>
          <w:szCs w:val="22"/>
        </w:rPr>
        <w:t>Δικαιώματα</w:t>
      </w:r>
      <w:r w:rsidRPr="00666BA6">
        <w:rPr>
          <w:rFonts w:ascii="Calibri" w:eastAsia="Arial Unicode MS" w:hAnsi="Calibri" w:cs="Calibri"/>
          <w:sz w:val="22"/>
          <w:szCs w:val="22"/>
          <w:lang w:val="en-US"/>
        </w:rPr>
        <w:t xml:space="preserve"> </w:t>
      </w:r>
      <w:r w:rsidRPr="003F593C">
        <w:rPr>
          <w:rFonts w:ascii="Calibri" w:eastAsia="Arial Unicode MS" w:hAnsi="Calibri" w:cs="Calibri"/>
          <w:sz w:val="22"/>
          <w:szCs w:val="22"/>
        </w:rPr>
        <w:t>Υπαλλήλων</w:t>
      </w:r>
      <w:r w:rsidRPr="00666BA6">
        <w:rPr>
          <w:rFonts w:ascii="Calibri" w:eastAsia="Arial Unicode MS" w:hAnsi="Calibri" w:cs="Calibri"/>
          <w:sz w:val="22"/>
          <w:szCs w:val="22"/>
          <w:lang w:val="en-US"/>
        </w:rPr>
        <w:t xml:space="preserve"> (Employee Stock Options)</w:t>
      </w:r>
    </w:p>
    <w:p w14:paraId="33E7E056" w14:textId="77777777" w:rsidR="003F593C" w:rsidRPr="003F593C" w:rsidRDefault="003F593C" w:rsidP="00103BF4">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Δικαιώματα Προαίρεσης (Οptions)</w:t>
      </w:r>
    </w:p>
    <w:p w14:paraId="61961A02" w14:textId="77777777" w:rsidR="003F593C" w:rsidRPr="003F593C" w:rsidRDefault="003F593C" w:rsidP="00103BF4">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Συμβόλαια Μελλοντικής Εκπλήρωσης (Futures)</w:t>
      </w:r>
    </w:p>
    <w:p w14:paraId="5670A59A" w14:textId="77777777" w:rsidR="003F593C" w:rsidRPr="003F593C" w:rsidRDefault="003F593C" w:rsidP="00103BF4">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Συμφωνίες Aνταλλαγής  Επιτοκίων (Swaps)</w:t>
      </w:r>
    </w:p>
    <w:p w14:paraId="3A8DEDD8" w14:textId="77777777" w:rsidR="003F593C" w:rsidRPr="003F593C" w:rsidRDefault="003F593C" w:rsidP="00103BF4">
      <w:pPr>
        <w:pStyle w:val="Default"/>
        <w:numPr>
          <w:ilvl w:val="0"/>
          <w:numId w:val="4"/>
        </w:numPr>
        <w:ind w:left="1418" w:hanging="371"/>
        <w:jc w:val="both"/>
        <w:rPr>
          <w:rFonts w:ascii="Calibri" w:eastAsia="Arial Unicode MS" w:hAnsi="Calibri" w:cs="Calibri"/>
          <w:sz w:val="22"/>
          <w:szCs w:val="22"/>
        </w:rPr>
      </w:pPr>
      <w:r w:rsidRPr="003F593C">
        <w:rPr>
          <w:rFonts w:ascii="Calibri" w:eastAsia="Arial Unicode MS" w:hAnsi="Calibri" w:cs="Calibri"/>
          <w:sz w:val="22"/>
          <w:szCs w:val="22"/>
        </w:rPr>
        <w:t>Προθεσμιακά Συμβόλαια (Forwards)</w:t>
      </w:r>
    </w:p>
    <w:p w14:paraId="71EA5CB2" w14:textId="64DB16EB" w:rsidR="003F593C" w:rsidRPr="003F593C" w:rsidRDefault="003F593C" w:rsidP="00103BF4">
      <w:pPr>
        <w:pStyle w:val="ListParagraph"/>
        <w:numPr>
          <w:ilvl w:val="0"/>
          <w:numId w:val="5"/>
        </w:numPr>
        <w:rPr>
          <w:rFonts w:ascii="Calibri" w:hAnsi="Calibri"/>
        </w:rPr>
      </w:pPr>
      <w:bookmarkStart w:id="3" w:name="_Toc26263412"/>
      <w:r w:rsidRPr="003F593C">
        <w:rPr>
          <w:rFonts w:ascii="Calibri" w:hAnsi="Calibri"/>
        </w:rPr>
        <w:t>Χρηματοδοτικές Μισθώσεις</w:t>
      </w:r>
      <w:bookmarkEnd w:id="3"/>
    </w:p>
    <w:p w14:paraId="46F301B7" w14:textId="3280F72D" w:rsidR="003F593C" w:rsidRPr="003F593C" w:rsidRDefault="003F593C" w:rsidP="00103BF4">
      <w:pPr>
        <w:pStyle w:val="ListParagraph"/>
        <w:numPr>
          <w:ilvl w:val="0"/>
          <w:numId w:val="5"/>
        </w:numPr>
        <w:rPr>
          <w:rFonts w:ascii="Calibri" w:hAnsi="Calibri"/>
        </w:rPr>
      </w:pPr>
      <w:bookmarkStart w:id="4" w:name="_Toc26263413"/>
      <w:r w:rsidRPr="003F593C">
        <w:rPr>
          <w:rFonts w:ascii="Calibri" w:hAnsi="Calibri"/>
        </w:rPr>
        <w:t>Εμπορικές Πιστώσεις</w:t>
      </w:r>
      <w:bookmarkEnd w:id="4"/>
    </w:p>
    <w:p w14:paraId="7395966E" w14:textId="2D326CD4" w:rsidR="003F593C" w:rsidRPr="003F593C" w:rsidRDefault="003F593C" w:rsidP="00103BF4">
      <w:pPr>
        <w:pStyle w:val="ListParagraph"/>
        <w:numPr>
          <w:ilvl w:val="0"/>
          <w:numId w:val="5"/>
        </w:numPr>
        <w:rPr>
          <w:rFonts w:ascii="Calibri" w:hAnsi="Calibri"/>
        </w:rPr>
      </w:pPr>
      <w:bookmarkStart w:id="5" w:name="_Toc26263414"/>
      <w:r w:rsidRPr="003F593C">
        <w:rPr>
          <w:rFonts w:ascii="Calibri" w:hAnsi="Calibri"/>
        </w:rPr>
        <w:t>Δάνεια</w:t>
      </w:r>
      <w:bookmarkEnd w:id="5"/>
    </w:p>
    <w:p w14:paraId="4CB8E8B4" w14:textId="01DE431D" w:rsidR="003F593C" w:rsidRPr="003F593C" w:rsidRDefault="003F593C" w:rsidP="00103BF4">
      <w:pPr>
        <w:pStyle w:val="ListParagraph"/>
        <w:numPr>
          <w:ilvl w:val="0"/>
          <w:numId w:val="5"/>
        </w:numPr>
        <w:rPr>
          <w:rFonts w:ascii="Calibri" w:hAnsi="Calibri"/>
        </w:rPr>
      </w:pPr>
      <w:bookmarkStart w:id="6" w:name="_Toc26263415"/>
      <w:r w:rsidRPr="003F593C">
        <w:rPr>
          <w:rFonts w:ascii="Calibri" w:hAnsi="Calibri"/>
        </w:rPr>
        <w:t>Μετρητά –Καταθέσεις</w:t>
      </w:r>
      <w:bookmarkEnd w:id="6"/>
    </w:p>
    <w:p w14:paraId="6CC42D36" w14:textId="65E4C8E3" w:rsidR="003F593C" w:rsidRPr="003F593C" w:rsidRDefault="003F593C" w:rsidP="00103BF4">
      <w:pPr>
        <w:pStyle w:val="ListParagraph"/>
        <w:numPr>
          <w:ilvl w:val="0"/>
          <w:numId w:val="5"/>
        </w:numPr>
        <w:rPr>
          <w:rFonts w:ascii="Calibri" w:hAnsi="Calibri"/>
        </w:rPr>
      </w:pPr>
      <w:bookmarkStart w:id="7" w:name="_Toc26263416"/>
      <w:r w:rsidRPr="003F593C">
        <w:rPr>
          <w:rFonts w:ascii="Calibri" w:hAnsi="Calibri"/>
        </w:rPr>
        <w:t>Ασφαλιστικά προγράμματα, συνταξιοδοτικά προγράμματα και προγράμματα τυποποιημένων εγγυήσεων</w:t>
      </w:r>
      <w:bookmarkEnd w:id="7"/>
    </w:p>
    <w:p w14:paraId="3D075911" w14:textId="3D17D477" w:rsidR="003F593C" w:rsidRPr="003F593C" w:rsidRDefault="003F593C" w:rsidP="00103BF4">
      <w:pPr>
        <w:pStyle w:val="ListParagraph"/>
        <w:numPr>
          <w:ilvl w:val="0"/>
          <w:numId w:val="5"/>
        </w:numPr>
        <w:rPr>
          <w:rFonts w:ascii="Calibri" w:hAnsi="Calibri"/>
        </w:rPr>
      </w:pPr>
      <w:bookmarkStart w:id="8" w:name="_Toc26263417"/>
      <w:r w:rsidRPr="003F593C">
        <w:rPr>
          <w:rFonts w:ascii="Calibri" w:hAnsi="Calibri"/>
        </w:rPr>
        <w:t>Λοιποί εισπρακτέοι/πληρωτέοι λογαριασμοί</w:t>
      </w:r>
      <w:bookmarkEnd w:id="8"/>
      <w:r w:rsidRPr="003F593C">
        <w:rPr>
          <w:rFonts w:ascii="Calibri" w:hAnsi="Calibri"/>
        </w:rPr>
        <w:t xml:space="preserve"> </w:t>
      </w:r>
    </w:p>
    <w:p w14:paraId="1743453D" w14:textId="77777777" w:rsidR="00D550AE" w:rsidRPr="00D550AE" w:rsidRDefault="00D550AE" w:rsidP="00081C00">
      <w:pPr>
        <w:spacing w:before="120" w:after="120" w:line="360" w:lineRule="exact"/>
        <w:jc w:val="both"/>
        <w:rPr>
          <w:rFonts w:ascii="Calibri" w:eastAsia="Arial Unicode MS" w:hAnsi="Calibri" w:cs="Arial Unicode MS"/>
          <w:lang w:val="en-US"/>
        </w:rPr>
      </w:pPr>
    </w:p>
    <w:p w14:paraId="61AD79AE" w14:textId="1C676FF9" w:rsidR="00081C00"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Νομικό Πλαίσιο</w:t>
      </w:r>
    </w:p>
    <w:p w14:paraId="4E53707B" w14:textId="18C6B307" w:rsidR="005E0F97" w:rsidRPr="00EE393D" w:rsidRDefault="005E0F97" w:rsidP="005E0F97">
      <w:pPr>
        <w:spacing w:before="120" w:after="120" w:line="360" w:lineRule="exact"/>
        <w:jc w:val="both"/>
        <w:rPr>
          <w:rFonts w:ascii="Calibri" w:eastAsia="Arial Unicode MS" w:hAnsi="Calibri" w:cs="Calibri"/>
        </w:rPr>
      </w:pPr>
      <w:r>
        <w:rPr>
          <w:rFonts w:ascii="Calibri" w:eastAsia="Arial Unicode MS" w:hAnsi="Calibri" w:cs="Calibri"/>
        </w:rPr>
        <w:t>Οι</w:t>
      </w:r>
      <w:r w:rsidRPr="00EE393D">
        <w:rPr>
          <w:rFonts w:ascii="Calibri" w:eastAsia="Arial Unicode MS" w:hAnsi="Calibri" w:cs="Calibri"/>
        </w:rPr>
        <w:t xml:space="preserve"> </w:t>
      </w:r>
      <w:r>
        <w:rPr>
          <w:rFonts w:ascii="Calibri" w:eastAsia="Arial Unicode MS" w:hAnsi="Calibri" w:cs="Calibri"/>
        </w:rPr>
        <w:t>έρευν</w:t>
      </w:r>
      <w:r w:rsidR="00E83165">
        <w:rPr>
          <w:rFonts w:ascii="Calibri" w:eastAsia="Arial Unicode MS" w:hAnsi="Calibri" w:cs="Calibri"/>
        </w:rPr>
        <w:t>ες</w:t>
      </w:r>
      <w:r>
        <w:rPr>
          <w:rFonts w:ascii="Calibri" w:eastAsia="Arial Unicode MS" w:hAnsi="Calibri" w:cs="Calibri"/>
        </w:rPr>
        <w:t xml:space="preserve"> αποτελούν</w:t>
      </w:r>
      <w:r w:rsidRPr="00EE393D">
        <w:rPr>
          <w:rFonts w:ascii="Calibri" w:eastAsia="Arial Unicode MS" w:hAnsi="Calibri" w:cs="Calibri"/>
        </w:rPr>
        <w:t xml:space="preserve"> μέρος των  υποχρεώσεων της Τράπεζας της Ελλάδος για παροχή στατιστικής πληροφόρησης προς Διεθνείς Οργανισμούς όπως την Ευρωπαϊκή Κεντρική Τράπεζα (ΕΚΤ), την Ευρωπαϊκή Επιτροπή (EUROSTAT), το Διεθνές Νομισματικό Ταμείο (ΔΝΤ), τον Οργανισμό Οικονομικής Ανάπτυξης και Συνεργασίας (</w:t>
      </w:r>
      <w:r w:rsidRPr="00EE393D">
        <w:rPr>
          <w:rFonts w:ascii="Calibri" w:eastAsia="Arial Unicode MS" w:hAnsi="Calibri" w:cs="Calibri"/>
          <w:lang w:val="en-US"/>
        </w:rPr>
        <w:t>OECD</w:t>
      </w:r>
      <w:r w:rsidRPr="00EE393D">
        <w:rPr>
          <w:rFonts w:ascii="Calibri" w:eastAsia="Arial Unicode MS" w:hAnsi="Calibri" w:cs="Calibri"/>
        </w:rPr>
        <w:t>) και άλλους φορείς στην Ελλάδα και το εξωτερικό.</w:t>
      </w:r>
    </w:p>
    <w:p w14:paraId="720EF7EC" w14:textId="2B6DD04F" w:rsidR="005E0F97" w:rsidRPr="00EE393D" w:rsidRDefault="005E0F97" w:rsidP="005E0F97">
      <w:pPr>
        <w:spacing w:before="120" w:after="120" w:line="360" w:lineRule="exact"/>
        <w:jc w:val="both"/>
        <w:rPr>
          <w:rFonts w:ascii="Calibri" w:eastAsia="Arial Unicode MS" w:hAnsi="Calibri" w:cs="Calibri"/>
        </w:rPr>
      </w:pPr>
      <w:r w:rsidRPr="00EE393D">
        <w:rPr>
          <w:rFonts w:ascii="Calibri" w:eastAsia="Arial Unicode MS" w:hAnsi="Calibri" w:cs="Calibri"/>
        </w:rPr>
        <w:t xml:space="preserve">Η κατάρτιση του </w:t>
      </w:r>
      <w:r w:rsidR="00E83165">
        <w:rPr>
          <w:rFonts w:ascii="Calibri" w:eastAsia="Arial Unicode MS" w:hAnsi="Calibri" w:cs="Calibri"/>
        </w:rPr>
        <w:t>Ι</w:t>
      </w:r>
      <w:r w:rsidRPr="00EE393D">
        <w:rPr>
          <w:rFonts w:ascii="Calibri" w:eastAsia="Arial Unicode MS" w:hAnsi="Calibri" w:cs="Calibri"/>
        </w:rPr>
        <w:t xml:space="preserve">σοζυγίου </w:t>
      </w:r>
      <w:r w:rsidR="00E83165">
        <w:rPr>
          <w:rFonts w:ascii="Calibri" w:eastAsia="Arial Unicode MS" w:hAnsi="Calibri" w:cs="Calibri"/>
        </w:rPr>
        <w:t>Π</w:t>
      </w:r>
      <w:r w:rsidRPr="00EE393D">
        <w:rPr>
          <w:rFonts w:ascii="Calibri" w:eastAsia="Arial Unicode MS" w:hAnsi="Calibri" w:cs="Calibri"/>
        </w:rPr>
        <w:t>ληρωμών,</w:t>
      </w:r>
      <w:r>
        <w:rPr>
          <w:rFonts w:ascii="Calibri" w:eastAsia="Arial Unicode MS" w:hAnsi="Calibri" w:cs="Calibri"/>
        </w:rPr>
        <w:t xml:space="preserve"> της </w:t>
      </w:r>
      <w:r w:rsidR="00E83165">
        <w:rPr>
          <w:rFonts w:ascii="Calibri" w:eastAsia="Arial Unicode MS" w:hAnsi="Calibri" w:cs="Calibri"/>
        </w:rPr>
        <w:t>Δ</w:t>
      </w:r>
      <w:r>
        <w:rPr>
          <w:rFonts w:ascii="Calibri" w:eastAsia="Arial Unicode MS" w:hAnsi="Calibri" w:cs="Calibri"/>
        </w:rPr>
        <w:t xml:space="preserve">ιεθνούς </w:t>
      </w:r>
      <w:r w:rsidR="00E83165">
        <w:rPr>
          <w:rFonts w:ascii="Calibri" w:eastAsia="Arial Unicode MS" w:hAnsi="Calibri" w:cs="Calibri"/>
        </w:rPr>
        <w:t>Ε</w:t>
      </w:r>
      <w:r>
        <w:rPr>
          <w:rFonts w:ascii="Calibri" w:eastAsia="Arial Unicode MS" w:hAnsi="Calibri" w:cs="Calibri"/>
        </w:rPr>
        <w:t xml:space="preserve">πενδυτικής </w:t>
      </w:r>
      <w:r w:rsidR="00E83165">
        <w:rPr>
          <w:rFonts w:ascii="Calibri" w:eastAsia="Arial Unicode MS" w:hAnsi="Calibri" w:cs="Calibri"/>
        </w:rPr>
        <w:t>Θ</w:t>
      </w:r>
      <w:r>
        <w:rPr>
          <w:rFonts w:ascii="Calibri" w:eastAsia="Arial Unicode MS" w:hAnsi="Calibri" w:cs="Calibri"/>
        </w:rPr>
        <w:t xml:space="preserve">έσης, </w:t>
      </w:r>
      <w:r w:rsidRPr="00EE393D">
        <w:rPr>
          <w:rFonts w:ascii="Calibri" w:eastAsia="Arial Unicode MS" w:hAnsi="Calibri" w:cs="Calibri"/>
        </w:rPr>
        <w:t xml:space="preserve">των στατιστικών στοιχείων για τις </w:t>
      </w:r>
      <w:r w:rsidR="00E83165">
        <w:rPr>
          <w:rFonts w:ascii="Calibri" w:eastAsia="Arial Unicode MS" w:hAnsi="Calibri" w:cs="Calibri"/>
        </w:rPr>
        <w:t>Ξ</w:t>
      </w:r>
      <w:r w:rsidRPr="00EE393D">
        <w:rPr>
          <w:rFonts w:ascii="Calibri" w:eastAsia="Arial Unicode MS" w:hAnsi="Calibri" w:cs="Calibri"/>
        </w:rPr>
        <w:t xml:space="preserve">ένες </w:t>
      </w:r>
      <w:r w:rsidR="00E83165">
        <w:rPr>
          <w:rFonts w:ascii="Calibri" w:eastAsia="Arial Unicode MS" w:hAnsi="Calibri" w:cs="Calibri"/>
        </w:rPr>
        <w:t>Ά</w:t>
      </w:r>
      <w:r w:rsidRPr="00EE393D">
        <w:rPr>
          <w:rFonts w:ascii="Calibri" w:eastAsia="Arial Unicode MS" w:hAnsi="Calibri" w:cs="Calibri"/>
        </w:rPr>
        <w:t xml:space="preserve">μεσες </w:t>
      </w:r>
      <w:r w:rsidR="00E83165">
        <w:rPr>
          <w:rFonts w:ascii="Calibri" w:eastAsia="Arial Unicode MS" w:hAnsi="Calibri" w:cs="Calibri"/>
        </w:rPr>
        <w:t>Ε</w:t>
      </w:r>
      <w:r w:rsidRPr="00EE393D">
        <w:rPr>
          <w:rFonts w:ascii="Calibri" w:eastAsia="Arial Unicode MS" w:hAnsi="Calibri" w:cs="Calibri"/>
        </w:rPr>
        <w:t xml:space="preserve">πενδύσεις </w:t>
      </w:r>
      <w:r>
        <w:rPr>
          <w:rFonts w:ascii="Calibri" w:eastAsia="Arial Unicode MS" w:hAnsi="Calibri" w:cs="Calibri"/>
        </w:rPr>
        <w:t xml:space="preserve">και </w:t>
      </w:r>
      <w:r w:rsidRPr="00EE393D">
        <w:rPr>
          <w:rFonts w:ascii="Calibri" w:eastAsia="Arial Unicode MS" w:hAnsi="Calibri" w:cs="Calibri"/>
        </w:rPr>
        <w:t xml:space="preserve">των στατιστικών στοιχείων για </w:t>
      </w:r>
      <w:r>
        <w:rPr>
          <w:rFonts w:ascii="Calibri" w:eastAsia="Arial Unicode MS" w:hAnsi="Calibri" w:cs="Calibri"/>
        </w:rPr>
        <w:t xml:space="preserve">τη δομή και τη δραστηριότητα των </w:t>
      </w:r>
      <w:r w:rsidR="00E83165">
        <w:rPr>
          <w:rFonts w:ascii="Calibri" w:eastAsia="Arial Unicode MS" w:hAnsi="Calibri" w:cs="Calibri"/>
        </w:rPr>
        <w:t>Α</w:t>
      </w:r>
      <w:r>
        <w:rPr>
          <w:rFonts w:ascii="Calibri" w:eastAsia="Arial Unicode MS" w:hAnsi="Calibri" w:cs="Calibri"/>
        </w:rPr>
        <w:t xml:space="preserve">λλοδαπών </w:t>
      </w:r>
      <w:r w:rsidR="00E83165">
        <w:rPr>
          <w:rFonts w:ascii="Calibri" w:eastAsia="Arial Unicode MS" w:hAnsi="Calibri" w:cs="Calibri"/>
        </w:rPr>
        <w:t>Σ</w:t>
      </w:r>
      <w:r>
        <w:rPr>
          <w:rFonts w:ascii="Calibri" w:eastAsia="Arial Unicode MS" w:hAnsi="Calibri" w:cs="Calibri"/>
        </w:rPr>
        <w:t xml:space="preserve">υνδεόμενων </w:t>
      </w:r>
      <w:r w:rsidR="00E83165">
        <w:rPr>
          <w:rFonts w:ascii="Calibri" w:eastAsia="Arial Unicode MS" w:hAnsi="Calibri" w:cs="Calibri"/>
        </w:rPr>
        <w:t>Ε</w:t>
      </w:r>
      <w:r>
        <w:rPr>
          <w:rFonts w:ascii="Calibri" w:eastAsia="Arial Unicode MS" w:hAnsi="Calibri" w:cs="Calibri"/>
        </w:rPr>
        <w:t>πιχειρήσεων διέπον</w:t>
      </w:r>
      <w:r w:rsidRPr="00EE393D">
        <w:rPr>
          <w:rFonts w:ascii="Calibri" w:eastAsia="Arial Unicode MS" w:hAnsi="Calibri" w:cs="Calibri"/>
        </w:rPr>
        <w:t>ται από κανόνες και οδηγίες που θέτουν η Ευρωπαϊκή Κεντρική Τράπεζα (ΕΚΤ), η Στατιστική Υπηρεσία της Ευρωπαϊκής Επιτροπής (Eurostat), το Διεθνές Νομισματικό Ταμείο (ΔΝΤ) και ο Οργανισμός Οικονομικής Ανάπτυξης και Συνεργασίας (</w:t>
      </w:r>
      <w:r w:rsidRPr="00EE393D">
        <w:rPr>
          <w:rFonts w:ascii="Calibri" w:eastAsia="Arial Unicode MS" w:hAnsi="Calibri" w:cs="Calibri"/>
          <w:lang w:val="en-US"/>
        </w:rPr>
        <w:t>OECD</w:t>
      </w:r>
      <w:r w:rsidRPr="00EE393D">
        <w:rPr>
          <w:rFonts w:ascii="Calibri" w:eastAsia="Arial Unicode MS" w:hAnsi="Calibri" w:cs="Calibri"/>
        </w:rPr>
        <w:t>).</w:t>
      </w:r>
    </w:p>
    <w:p w14:paraId="473F56EF" w14:textId="2DDF266E" w:rsidR="00EE393D" w:rsidRDefault="000C6289" w:rsidP="00EE393D">
      <w:pPr>
        <w:spacing w:before="120" w:after="120" w:line="360" w:lineRule="exact"/>
        <w:jc w:val="both"/>
        <w:rPr>
          <w:rFonts w:ascii="Calibri" w:eastAsia="Arial Unicode MS" w:hAnsi="Calibri" w:cs="Calibri"/>
        </w:rPr>
      </w:pPr>
      <w:r>
        <w:rPr>
          <w:rFonts w:ascii="Calibri" w:eastAsia="Arial Unicode MS" w:hAnsi="Calibri" w:cs="Calibri"/>
        </w:rPr>
        <w:t>Οι Διεθνείς Κανονισμοί και η</w:t>
      </w:r>
      <w:r w:rsidR="005E0F97">
        <w:rPr>
          <w:rFonts w:ascii="Calibri" w:eastAsia="Arial Unicode MS" w:hAnsi="Calibri" w:cs="Calibri"/>
        </w:rPr>
        <w:t xml:space="preserve"> </w:t>
      </w:r>
      <w:r w:rsidR="00EE393D" w:rsidRPr="00EE393D">
        <w:rPr>
          <w:rFonts w:ascii="Calibri" w:eastAsia="Arial Unicode MS" w:hAnsi="Calibri" w:cs="Calibri"/>
        </w:rPr>
        <w:t xml:space="preserve">Ευρωπαϊκή και </w:t>
      </w:r>
      <w:r w:rsidR="005E0F97">
        <w:rPr>
          <w:rFonts w:ascii="Calibri" w:eastAsia="Arial Unicode MS" w:hAnsi="Calibri" w:cs="Calibri"/>
        </w:rPr>
        <w:t>η</w:t>
      </w:r>
      <w:r w:rsidR="00EE393D" w:rsidRPr="00EE393D">
        <w:rPr>
          <w:rFonts w:ascii="Calibri" w:eastAsia="Arial Unicode MS" w:hAnsi="Calibri" w:cs="Calibri"/>
        </w:rPr>
        <w:t xml:space="preserve"> Εθνική νομοθεσία</w:t>
      </w:r>
      <w:r w:rsidR="005E0F97">
        <w:rPr>
          <w:rFonts w:ascii="Calibri" w:eastAsia="Arial Unicode MS" w:hAnsi="Calibri" w:cs="Calibri"/>
        </w:rPr>
        <w:t xml:space="preserve"> </w:t>
      </w:r>
      <w:r w:rsidR="005E0F97" w:rsidRPr="00EE393D">
        <w:rPr>
          <w:rFonts w:ascii="Calibri" w:eastAsia="Arial Unicode MS" w:hAnsi="Calibri" w:cs="Calibri"/>
        </w:rPr>
        <w:t xml:space="preserve">σύμφωνα με </w:t>
      </w:r>
      <w:r w:rsidR="005E0F97">
        <w:rPr>
          <w:rFonts w:ascii="Calibri" w:eastAsia="Arial Unicode MS" w:hAnsi="Calibri" w:cs="Calibri"/>
        </w:rPr>
        <w:t>τις οποίες διεξάγονται οι έρευνες είναι οι εξής</w:t>
      </w:r>
      <w:r w:rsidR="00EE393D" w:rsidRPr="00EE393D">
        <w:rPr>
          <w:rFonts w:ascii="Calibri" w:eastAsia="Arial Unicode MS" w:hAnsi="Calibri" w:cs="Calibri"/>
        </w:rPr>
        <w:t>:</w:t>
      </w:r>
    </w:p>
    <w:p w14:paraId="1A86CAE6" w14:textId="6BF66E74" w:rsidR="000C6289" w:rsidRPr="00666BA6" w:rsidRDefault="000C6289" w:rsidP="00103BF4">
      <w:pPr>
        <w:pStyle w:val="ListParagraph"/>
        <w:numPr>
          <w:ilvl w:val="0"/>
          <w:numId w:val="5"/>
        </w:numPr>
        <w:rPr>
          <w:rFonts w:ascii="Calibri" w:hAnsi="Calibri"/>
          <w:color w:val="000000"/>
          <w:lang w:val="en-US"/>
        </w:rPr>
      </w:pPr>
      <w:r w:rsidRPr="00666BA6">
        <w:rPr>
          <w:rFonts w:ascii="Calibri" w:hAnsi="Calibri"/>
          <w:color w:val="000000"/>
          <w:lang w:val="en-US"/>
        </w:rPr>
        <w:t xml:space="preserve">Balance of Payments &amp; International Investment Position Manual, Sixth Edition (BPM6), </w:t>
      </w:r>
      <w:r w:rsidRPr="003F593C">
        <w:rPr>
          <w:rFonts w:ascii="Calibri" w:hAnsi="Calibri"/>
          <w:color w:val="000000"/>
        </w:rPr>
        <w:t>ΔΝΤ</w:t>
      </w:r>
      <w:r w:rsidRPr="00666BA6">
        <w:rPr>
          <w:rFonts w:ascii="Calibri" w:hAnsi="Calibri"/>
          <w:color w:val="000000"/>
          <w:lang w:val="en-US"/>
        </w:rPr>
        <w:t xml:space="preserve"> - IMF</w:t>
      </w:r>
    </w:p>
    <w:p w14:paraId="4022A755" w14:textId="1FB12115" w:rsidR="000C6289" w:rsidRPr="00666BA6" w:rsidRDefault="000C6289" w:rsidP="00103BF4">
      <w:pPr>
        <w:pStyle w:val="ListParagraph"/>
        <w:numPr>
          <w:ilvl w:val="0"/>
          <w:numId w:val="5"/>
        </w:numPr>
        <w:rPr>
          <w:rFonts w:ascii="Calibri" w:hAnsi="Calibri"/>
          <w:color w:val="000000"/>
          <w:lang w:val="en-US"/>
        </w:rPr>
      </w:pPr>
      <w:r w:rsidRPr="003F593C">
        <w:rPr>
          <w:rFonts w:ascii="Calibri" w:hAnsi="Calibri"/>
          <w:color w:val="000000"/>
        </w:rPr>
        <w:t>Εγχειρίδιο</w:t>
      </w:r>
      <w:r w:rsidRPr="00666BA6">
        <w:rPr>
          <w:rFonts w:ascii="Calibri" w:hAnsi="Calibri"/>
          <w:color w:val="000000"/>
          <w:lang w:val="en-US"/>
        </w:rPr>
        <w:t xml:space="preserve"> </w:t>
      </w:r>
      <w:r w:rsidRPr="003F593C">
        <w:rPr>
          <w:rFonts w:ascii="Calibri" w:hAnsi="Calibri"/>
          <w:color w:val="000000"/>
        </w:rPr>
        <w:t>ΟΟΣΑ</w:t>
      </w:r>
      <w:r w:rsidRPr="00666BA6">
        <w:rPr>
          <w:rFonts w:ascii="Calibri" w:hAnsi="Calibri"/>
          <w:color w:val="000000"/>
          <w:lang w:val="en-US"/>
        </w:rPr>
        <w:t xml:space="preserve"> - OECD Benchmark Definition of Foreign Direct Investment, 4th edition, April 2008 (BD4). </w:t>
      </w:r>
    </w:p>
    <w:p w14:paraId="3D710AF5" w14:textId="5A813A23"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Κατευθυντήριες γραμμές </w:t>
      </w:r>
      <w:r w:rsidR="00C601FA">
        <w:rPr>
          <w:rFonts w:ascii="Calibri" w:hAnsi="Calibri"/>
          <w:color w:val="000000"/>
        </w:rPr>
        <w:t xml:space="preserve">ΕΚΤ/2018/1151, </w:t>
      </w:r>
      <w:r w:rsidRPr="003F593C">
        <w:rPr>
          <w:rFonts w:ascii="Calibri" w:hAnsi="Calibri"/>
          <w:color w:val="000000"/>
        </w:rPr>
        <w:t xml:space="preserve">ΕΚΤ/2011/23 και ΕΚΤ/2013/25 σχετικά με τις υποχρεώσεις παροχής στατιστικών στοιχείων που θεσπίζει η Ευρωπαϊκή Κεντρική Τράπεζα όσον αφορά τα στατιστικά στοιχεία του εξωτερικού τομέα. </w:t>
      </w:r>
    </w:p>
    <w:p w14:paraId="34BE1EC3"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Συστάσεις ΕΚΤ/2011/24 και ΕΚΤ/2014/2 σχετικά με τις υποχρεώσεις παροχής στατιστικών στοιχείων που θεσπίζει η Ευρωπαϊκή Κεντρική Τράπεζα όσον αφορά τα στατιστικά στοιχεία του εξωτερικού τομέα. </w:t>
      </w:r>
    </w:p>
    <w:p w14:paraId="7CAEFCCC"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Κατευθυντήριες γραμμές ΕΚΤ/2004/15 και ΕΚΤ/2007/3 σχετικά με τις απαιτήσεις για παροχή στατιστικών στοιχείων στον τομέα του ισοζυγίου πληρωμών και της διεθνούς επενδυτικής θέσης και το πρότυπο διεθνών διαθεσίμων. </w:t>
      </w:r>
    </w:p>
    <w:p w14:paraId="602515C5"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Συστάσεις ΕΚΤ/2004/16 και ΕΚΤ/2007/4 σχετικά με τις απαιτήσεις της Ευρωπαϊκής Κεντρικής Τράπεζας για παροχή στατιστικών στοιχείων στον τομέα του ισοζυγίου πληρωμών και της διεθνούς επενδυτικής θέσης και το πρότυπο διεθνών διαθεσίμων </w:t>
      </w:r>
    </w:p>
    <w:p w14:paraId="09C1038E" w14:textId="77777777" w:rsidR="000C6289" w:rsidRPr="00666BA6" w:rsidRDefault="000C6289" w:rsidP="00103BF4">
      <w:pPr>
        <w:pStyle w:val="ListParagraph"/>
        <w:numPr>
          <w:ilvl w:val="0"/>
          <w:numId w:val="5"/>
        </w:numPr>
        <w:rPr>
          <w:rFonts w:ascii="Calibri" w:hAnsi="Calibri"/>
          <w:color w:val="000000"/>
          <w:lang w:val="en-US"/>
        </w:rPr>
      </w:pPr>
      <w:r w:rsidRPr="00666BA6">
        <w:rPr>
          <w:rFonts w:ascii="Calibri" w:hAnsi="Calibri"/>
          <w:color w:val="000000"/>
          <w:lang w:val="en-US"/>
        </w:rPr>
        <w:t xml:space="preserve">European Union Balance of Payments/International Investment Position Statistical Methods, ECB. </w:t>
      </w:r>
    </w:p>
    <w:p w14:paraId="4CB22205" w14:textId="77777777" w:rsidR="000C6289" w:rsidRPr="00666BA6" w:rsidRDefault="000C6289" w:rsidP="00103BF4">
      <w:pPr>
        <w:pStyle w:val="ListParagraph"/>
        <w:numPr>
          <w:ilvl w:val="0"/>
          <w:numId w:val="5"/>
        </w:numPr>
        <w:rPr>
          <w:rFonts w:ascii="Calibri" w:hAnsi="Calibri"/>
          <w:color w:val="000000"/>
          <w:lang w:val="en-US"/>
        </w:rPr>
      </w:pPr>
      <w:r w:rsidRPr="00666BA6">
        <w:rPr>
          <w:rFonts w:ascii="Calibri" w:hAnsi="Calibri"/>
          <w:color w:val="000000"/>
          <w:lang w:val="en-US"/>
        </w:rPr>
        <w:t xml:space="preserve">The Exchange of Balance of Payments, International Investment Position and Reserve Assets Statistics within the ESCB, ECB. </w:t>
      </w:r>
    </w:p>
    <w:p w14:paraId="68D005F0" w14:textId="77777777" w:rsidR="000C6289" w:rsidRPr="00666BA6" w:rsidRDefault="000C6289" w:rsidP="00103BF4">
      <w:pPr>
        <w:pStyle w:val="ListParagraph"/>
        <w:numPr>
          <w:ilvl w:val="0"/>
          <w:numId w:val="5"/>
        </w:numPr>
        <w:rPr>
          <w:rFonts w:ascii="Calibri" w:hAnsi="Calibri"/>
          <w:color w:val="000000"/>
          <w:lang w:val="en-US"/>
        </w:rPr>
      </w:pPr>
      <w:r w:rsidRPr="00666BA6">
        <w:rPr>
          <w:rFonts w:ascii="Calibri" w:hAnsi="Calibri"/>
          <w:color w:val="000000"/>
          <w:lang w:val="en-US"/>
        </w:rPr>
        <w:t xml:space="preserve">Statistical treatment of the Eurosystem’s international reserves, ECB. </w:t>
      </w:r>
    </w:p>
    <w:p w14:paraId="11D779F0" w14:textId="77777777" w:rsidR="000C6289" w:rsidRPr="003F593C" w:rsidRDefault="005C7277" w:rsidP="00103BF4">
      <w:pPr>
        <w:pStyle w:val="ListParagraph"/>
        <w:numPr>
          <w:ilvl w:val="0"/>
          <w:numId w:val="5"/>
        </w:numPr>
        <w:rPr>
          <w:rFonts w:ascii="Calibri" w:hAnsi="Calibri"/>
          <w:color w:val="000000"/>
        </w:rPr>
      </w:pPr>
      <w:hyperlink r:id="rId16" w:history="1">
        <w:r w:rsidR="000C6289" w:rsidRPr="003F593C">
          <w:rPr>
            <w:rFonts w:ascii="Calibri" w:hAnsi="Calibri"/>
            <w:color w:val="000000"/>
          </w:rPr>
          <w:t>Κανονισμός (ΕΕ) 1055/2008 της Επιτροπής της 27ης Οκτωβρίου 2008</w:t>
        </w:r>
      </w:hyperlink>
      <w:r w:rsidR="000C6289" w:rsidRPr="003F593C">
        <w:rPr>
          <w:rFonts w:ascii="Calibri" w:hAnsi="Calibri"/>
          <w:color w:val="000000"/>
        </w:rPr>
        <w:t xml:space="preserve"> για την εφαρμογή του κανονισμού (ΕΚ) αριθ. 184/2005 του Ευρωπαϊκού Κοινοβουλίου και του Συμβουλίου, όσον αφορά τα κριτήρια ποιότητας και τις εκθέσεις ποιότητας για τις στατιστικές σχετικά με το ισοζύγιο πληρωμών. </w:t>
      </w:r>
    </w:p>
    <w:p w14:paraId="126DB8D8" w14:textId="77777777" w:rsidR="000C6289" w:rsidRPr="003F593C" w:rsidRDefault="005C7277" w:rsidP="00103BF4">
      <w:pPr>
        <w:pStyle w:val="ListParagraph"/>
        <w:numPr>
          <w:ilvl w:val="0"/>
          <w:numId w:val="5"/>
        </w:numPr>
        <w:rPr>
          <w:rFonts w:ascii="Calibri" w:hAnsi="Calibri"/>
          <w:color w:val="000000"/>
        </w:rPr>
      </w:pPr>
      <w:hyperlink r:id="rId17" w:history="1">
        <w:r w:rsidR="000C6289" w:rsidRPr="003F593C">
          <w:rPr>
            <w:rFonts w:ascii="Calibri" w:hAnsi="Calibri"/>
            <w:color w:val="000000"/>
          </w:rPr>
          <w:t>Κανονισμός (ΕΕ) 1227/2010 της Επιτροπής της 20ης Δεκεμβρίου 2010</w:t>
        </w:r>
      </w:hyperlink>
      <w:r w:rsidR="000C6289" w:rsidRPr="003F593C">
        <w:rPr>
          <w:rFonts w:ascii="Calibri" w:hAnsi="Calibri"/>
          <w:color w:val="000000"/>
        </w:rPr>
        <w:t xml:space="preserve"> για την τροποποίηση του κανονισμού (ΕΚ) αριθ. 1055/2008.</w:t>
      </w:r>
    </w:p>
    <w:p w14:paraId="1658E2FB" w14:textId="77777777" w:rsidR="000C6289" w:rsidRPr="003F593C" w:rsidRDefault="005C7277" w:rsidP="00103BF4">
      <w:pPr>
        <w:pStyle w:val="ListParagraph"/>
        <w:numPr>
          <w:ilvl w:val="0"/>
          <w:numId w:val="5"/>
        </w:numPr>
        <w:rPr>
          <w:rFonts w:ascii="Calibri" w:hAnsi="Calibri"/>
          <w:color w:val="000000"/>
        </w:rPr>
      </w:pPr>
      <w:hyperlink r:id="rId18" w:history="1">
        <w:r w:rsidR="000C6289" w:rsidRPr="003F593C">
          <w:rPr>
            <w:rFonts w:ascii="Calibri" w:hAnsi="Calibri"/>
            <w:color w:val="000000"/>
          </w:rPr>
          <w:t>Κανονισμός (ΕΚ) αριθ. 2016/1013 του Ευρωπαϊκού Κοινοβουλίου και του Συμβουλίου της 8ης Ιουνίου 2016</w:t>
        </w:r>
      </w:hyperlink>
      <w:r w:rsidR="000C6289" w:rsidRPr="003F593C">
        <w:rPr>
          <w:rFonts w:ascii="Calibri" w:hAnsi="Calibri"/>
          <w:color w:val="000000"/>
        </w:rPr>
        <w:t xml:space="preserve"> για την τροποποίηση του κανονισμού (ΕΚ) αριθ. 184/2005  του Ευρωπαϊκού Κοινοβουλίου και του Συμβουλίου σχετικά με τις κοινοτικές στατιστικές για το ισοζύγιο πληρωμών, το διεθνές εμπόριο υπηρεσιών και τις ξένες άμεσες επενδύσεις.</w:t>
      </w:r>
    </w:p>
    <w:p w14:paraId="0B4EFDFC"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(ΕΕ) 1011/2012 σχετικά με τα στατιστικά στοιχεία για τις διακρατήσεις τίτλων </w:t>
      </w:r>
    </w:p>
    <w:p w14:paraId="2081A15E"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Κανονισμοί (ΕΕ) 555/2012 και (ΕΚ) 707/2009 σχετικά με τις κοινοτικές στατιστικές για το ισοζύγιο πληρωμών, το διεθνές εμπόριο υπηρεσιών και τις άμεσες ξένες επενδύσεις, όσον αφορά την επικαιροποίηση των απαιτήσεων για στοιχεία και ορισμούς. </w:t>
      </w:r>
    </w:p>
    <w:p w14:paraId="28184ABF"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(ΕΚ) 184/2005 σχετικά με τις κοινοτικές στατιστικές για το ισοζύγιο πληρωμών, το διεθνές εμπόριο υπηρεσιών και άμεσες ξένες επενδύσεις. </w:t>
      </w:r>
    </w:p>
    <w:p w14:paraId="46F852AF"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(ΕΚ) 951/2009 σχετικά με τη συλλογή στατιστικών πληροφοριών από την ΕΚΤ. </w:t>
      </w:r>
    </w:p>
    <w:p w14:paraId="3F88E07C"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Κανονισμός (ΕΚ) 177/2008 σχετικά με τη θέσπιση κοινού πλαισίου όσον αφορά τα μητρώα επιχειρήσεων για στατιστικούς σκοπούς.</w:t>
      </w:r>
    </w:p>
    <w:p w14:paraId="0118D7E2"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(ΕΚ) 924/2009 σχετικά με τις διασυνοριακές πληρωμές σε ευρώ. </w:t>
      </w:r>
    </w:p>
    <w:p w14:paraId="311E9C9E"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(ΕΚ) 223/2009 σχετικά με τη διαβίβαση στη Eurostat πληροφοριών που καλύπτονται από το στατιστικό απόρρητο. </w:t>
      </w:r>
    </w:p>
    <w:p w14:paraId="7E6B36FB" w14:textId="77777777" w:rsidR="000C6289" w:rsidRPr="00666BA6" w:rsidRDefault="000C6289" w:rsidP="00103BF4">
      <w:pPr>
        <w:pStyle w:val="ListParagraph"/>
        <w:numPr>
          <w:ilvl w:val="0"/>
          <w:numId w:val="5"/>
        </w:numPr>
        <w:rPr>
          <w:rFonts w:ascii="Calibri" w:hAnsi="Calibri"/>
          <w:color w:val="000000"/>
          <w:lang w:val="en-US"/>
        </w:rPr>
      </w:pPr>
      <w:r w:rsidRPr="00666BA6">
        <w:rPr>
          <w:rFonts w:ascii="Calibri" w:hAnsi="Calibri"/>
          <w:color w:val="000000"/>
          <w:lang w:val="en-US"/>
        </w:rPr>
        <w:t xml:space="preserve">Balance of Payments Vademecum, Eurostat. </w:t>
      </w:r>
    </w:p>
    <w:p w14:paraId="722941DD" w14:textId="77777777" w:rsidR="000C6289" w:rsidRPr="003F593C" w:rsidRDefault="000C6289" w:rsidP="00103BF4">
      <w:pPr>
        <w:pStyle w:val="ListParagraph"/>
        <w:numPr>
          <w:ilvl w:val="0"/>
          <w:numId w:val="5"/>
        </w:numPr>
        <w:rPr>
          <w:rFonts w:ascii="Calibri" w:hAnsi="Calibri"/>
          <w:color w:val="000000"/>
        </w:rPr>
      </w:pPr>
      <w:r w:rsidRPr="003F593C">
        <w:rPr>
          <w:rFonts w:ascii="Calibri" w:hAnsi="Calibri"/>
          <w:color w:val="000000"/>
        </w:rPr>
        <w:t xml:space="preserve">Κανονισμός (ΕΚ) No 716/2007 του Ευρωπαϊκού Κοινοβουλίου και του Συμβουλίου της 20ής Ιουνίου του 2007 για τις Κοινοτικές Στατιστικές αναφορικά με τη διάρθρωση και τη δραστηριότητα των αλλοδαπών συνδεόμενων επιχειρήσεων. </w:t>
      </w:r>
    </w:p>
    <w:p w14:paraId="787AE601" w14:textId="77777777" w:rsidR="00EE393D" w:rsidRPr="003F593C" w:rsidRDefault="00EE393D" w:rsidP="00103BF4">
      <w:pPr>
        <w:pStyle w:val="ListParagraph"/>
        <w:numPr>
          <w:ilvl w:val="0"/>
          <w:numId w:val="5"/>
        </w:numPr>
        <w:rPr>
          <w:rFonts w:ascii="Calibri" w:hAnsi="Calibri"/>
          <w:color w:val="000000"/>
        </w:rPr>
      </w:pPr>
      <w:r w:rsidRPr="003F593C">
        <w:rPr>
          <w:rFonts w:ascii="Calibri" w:hAnsi="Calibri"/>
          <w:color w:val="000000"/>
        </w:rPr>
        <w:t xml:space="preserve">Διατάξεις του Καταστατικού της Τράπεζας της Ελλάδος και ειδικότερα τα άρθρα 55Α και 55Γ, όπως ισχύουν και κυρώθηκαν με τους οικείους νόμους, σχετικά με την υποχρέωση υποβολής στατιστικών στοιχείων αποκλειστικά στην Τράπεζα της Ελλάδος από φυσικά και νομικά πρόσωπα. </w:t>
      </w:r>
    </w:p>
    <w:p w14:paraId="1DD6A38F" w14:textId="77777777" w:rsidR="00EE393D" w:rsidRPr="003F593C" w:rsidRDefault="00EE393D" w:rsidP="00103BF4">
      <w:pPr>
        <w:pStyle w:val="ListParagraph"/>
        <w:numPr>
          <w:ilvl w:val="0"/>
          <w:numId w:val="5"/>
        </w:numPr>
        <w:rPr>
          <w:rFonts w:ascii="Calibri" w:hAnsi="Calibri"/>
          <w:color w:val="000000"/>
        </w:rPr>
      </w:pPr>
      <w:r w:rsidRPr="003F593C">
        <w:rPr>
          <w:rFonts w:ascii="Calibri" w:hAnsi="Calibri"/>
          <w:color w:val="000000"/>
        </w:rPr>
        <w:t xml:space="preserve">Πράξη Εκτελεστικής Επιτροπής (ΠΕΕ) της Τράπεζας της Ελλάδος αρ. 32/07.10.2013 «Υποβολή μηνιαίων αναλυτικών στοιχείων από τα Πιστωτικά Ιδρύματα στην Τράπεζα της Ελλάδος για τίτλους τους οποίους είτε διακρατούν για ίδιο λογαριασμό είτε φυλάσσουν – διαχειρίζονται για λογαριασμό τρίτων». </w:t>
      </w:r>
    </w:p>
    <w:p w14:paraId="4E4D6DB4" w14:textId="77777777" w:rsidR="00EE393D" w:rsidRPr="003F593C" w:rsidRDefault="00EE393D" w:rsidP="00103BF4">
      <w:pPr>
        <w:pStyle w:val="ListParagraph"/>
        <w:numPr>
          <w:ilvl w:val="0"/>
          <w:numId w:val="5"/>
        </w:numPr>
        <w:rPr>
          <w:rFonts w:ascii="Calibri" w:hAnsi="Calibri"/>
          <w:color w:val="000000"/>
        </w:rPr>
      </w:pPr>
      <w:r w:rsidRPr="003F593C">
        <w:rPr>
          <w:rFonts w:ascii="Calibri" w:hAnsi="Calibri"/>
          <w:color w:val="000000"/>
        </w:rPr>
        <w:t xml:space="preserve">ΠΔ/ΤΕ 2621/21.12.2009 «Τροποποίηση της ΠΔ/ΤΕ 2535/21.1.2004 με θέμα: "Τροποποίηση και κωδικοποίηση διατάξεων σχετικών με τη στατιστική πληροφόρηση της Τράπεζα της Ελλάδος για συναλλαγές μεταξύ κατοίκων Ελλάδος και μη κατοίκων σε ευρώ και σε συνάλλαγμα"» </w:t>
      </w:r>
    </w:p>
    <w:p w14:paraId="0B767A8B" w14:textId="77777777" w:rsidR="00EE393D" w:rsidRPr="003F593C" w:rsidRDefault="00EE393D" w:rsidP="00103BF4">
      <w:pPr>
        <w:pStyle w:val="ListParagraph"/>
        <w:numPr>
          <w:ilvl w:val="0"/>
          <w:numId w:val="5"/>
        </w:numPr>
        <w:rPr>
          <w:rFonts w:ascii="Calibri" w:hAnsi="Calibri"/>
          <w:color w:val="000000"/>
        </w:rPr>
      </w:pPr>
      <w:r w:rsidRPr="003F593C">
        <w:rPr>
          <w:rFonts w:ascii="Calibri" w:hAnsi="Calibri"/>
          <w:color w:val="000000"/>
        </w:rPr>
        <w:t xml:space="preserve">ΠΔ/ΤΕ 2345/19.12.1994 «Εξαγωγές αγαθών και υπηρεσιών από φυσικά και νομικά πρόσωπα» και 2344/19.12.1994 «Πληρωμές για τρέχουσες συναλλαγές με το εξωτερικό». </w:t>
      </w:r>
    </w:p>
    <w:p w14:paraId="5B47EC67" w14:textId="77777777" w:rsidR="00EE393D" w:rsidRPr="003F593C" w:rsidRDefault="00EE393D" w:rsidP="00103BF4">
      <w:pPr>
        <w:pStyle w:val="ListParagraph"/>
        <w:numPr>
          <w:ilvl w:val="0"/>
          <w:numId w:val="5"/>
        </w:numPr>
        <w:rPr>
          <w:rFonts w:ascii="Calibri" w:hAnsi="Calibri"/>
          <w:color w:val="000000"/>
        </w:rPr>
      </w:pPr>
      <w:r w:rsidRPr="003F593C">
        <w:rPr>
          <w:rFonts w:ascii="Calibri" w:hAnsi="Calibri"/>
          <w:color w:val="000000"/>
        </w:rPr>
        <w:t xml:space="preserve">Τεύχος Οδηγιών Κατάρτισης Ισοζυγίου Πληρωμών της Τράπεζας της Ελλάδος, Ιούνιος 1997. </w:t>
      </w:r>
    </w:p>
    <w:p w14:paraId="445FBA60" w14:textId="10C94F0E" w:rsidR="00081C00" w:rsidRDefault="00081C00" w:rsidP="00081C00">
      <w:pPr>
        <w:pStyle w:val="ListParagraph"/>
        <w:spacing w:before="120" w:after="120" w:line="360" w:lineRule="exact"/>
        <w:contextualSpacing w:val="0"/>
        <w:jc w:val="both"/>
        <w:rPr>
          <w:rFonts w:ascii="Calibri" w:eastAsia="Arial Unicode MS" w:hAnsi="Calibri" w:cs="Arial Unicode MS"/>
        </w:rPr>
      </w:pPr>
    </w:p>
    <w:p w14:paraId="15EA86AF" w14:textId="77777777" w:rsidR="000C6289" w:rsidRPr="00C601FA" w:rsidRDefault="000C6289" w:rsidP="00C601FA">
      <w:pPr>
        <w:spacing w:before="120" w:after="120" w:line="360" w:lineRule="exact"/>
        <w:jc w:val="both"/>
        <w:rPr>
          <w:rFonts w:ascii="Calibri" w:eastAsia="Arial Unicode MS" w:hAnsi="Calibri" w:cs="Arial Unicode MS"/>
        </w:rPr>
      </w:pPr>
    </w:p>
    <w:p w14:paraId="277DDD1A"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 xml:space="preserve">Εμπιστευτικότητα </w:t>
      </w:r>
    </w:p>
    <w:p w14:paraId="2297FB53" w14:textId="77777777"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Επισημαίνεται ότι τα στοιχεία είναι εμπιστευτικά, χρησιμοποιούνται αποκλειστικά για στατιστικούς σκοπούς και δεν γνωστοποιούνται σε τρίτους.</w:t>
      </w:r>
    </w:p>
    <w:p w14:paraId="3B916091" w14:textId="77777777"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Τα πρόσωπα που ασκούν ή άσκησαν δραστηριότητα για λογαριασμό της Τράπεζας της Ελλάδος απαγορεύεται να γνωστοποιούν σε οποιοδήποτε φυσικό ή νομικό πρόσωπο και σε οποιαδήποτε δημόσια αρχή τις πληροφορίες ή τα στοιχεία που παρέχονται σύμφωνα με τις πιο πάνω διατάξεις, με την επιφύλαξη των εξαιρέσεων που προβλέπονται από την ισχύουσα νομοθεσία της ΕΕ. Η απαγόρευση αυτή δεν περιλαμβάνει την ανακοίνωση με συγκεντρωτική μορφή των εν λόγω στοιχείων και πληροφοριών, εφόσον δεν προκύπτει η ταυτότητα των προσώπων στα οποία αναφέρονται. Πρόσωπα που ασκούν ή έχουν ασκήσει δραστηριότητα για λογαριασμό της Τράπεζας της Ελλάδος τιμωρούνται κατά τις διατάξεις του άρθρου 371 του Ποινικού Κώδικα αν παραβούν το πιο πάνω απόρρητο. Κατά τις διατάξεις του ίδιου άρθρου τιμωρείται και οποιοδήποτε άλλο πρόσωπο κοινοποιήσει τα στοιχεία που έχουν υποβληθεί στην Τράπεζα της Ελλάδος με οιονδήποτε τρόπο και αν έλαβε γνώση αυτών.</w:t>
      </w:r>
    </w:p>
    <w:p w14:paraId="5332641B" w14:textId="77777777"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Σε περίπτωση παράβασης των παραπάνω υποχρεώσεων και άρνησης, δυστροπίας ή καθυστέρησης παροχής των αιτούμενων κατά περίπτωση πληροφοριών ή σε περίπτωση παροχής ανακριβών ή ελλιπών πληροφοριών, η Τράπεζα της Ελλάδος δύναται να επιβάλλει κατά των υπόχρεων καθώς και των νόμιμων εκπροσώπων τους πρόστιμο υπέρ του Ελληνικού Δημοσίου.</w:t>
      </w:r>
    </w:p>
    <w:p w14:paraId="14B6E676" w14:textId="77777777" w:rsidR="00081C00" w:rsidRPr="00D76A2F" w:rsidRDefault="00081C00" w:rsidP="00081C00">
      <w:pPr>
        <w:spacing w:before="120" w:after="120" w:line="360" w:lineRule="exact"/>
        <w:jc w:val="both"/>
        <w:rPr>
          <w:rFonts w:ascii="Calibri" w:eastAsia="Arial Unicode MS" w:hAnsi="Calibri" w:cs="Arial Unicode MS"/>
        </w:rPr>
      </w:pPr>
    </w:p>
    <w:p w14:paraId="47B405C6"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Περιοδικότητα - Προθεσμία Υποβολής – Διαθεσιμότητα του συστήματος</w:t>
      </w:r>
    </w:p>
    <w:p w14:paraId="721FF719" w14:textId="77777777" w:rsidR="00FC64AC"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Η υποβολή των στοιχείων γίνεται </w:t>
      </w:r>
    </w:p>
    <w:p w14:paraId="2DD19280" w14:textId="7DEDD577" w:rsidR="00FC64AC" w:rsidRPr="00FC64AC" w:rsidRDefault="00081C00" w:rsidP="00103BF4">
      <w:pPr>
        <w:pStyle w:val="Default"/>
        <w:numPr>
          <w:ilvl w:val="0"/>
          <w:numId w:val="6"/>
        </w:numPr>
        <w:jc w:val="both"/>
        <w:rPr>
          <w:rFonts w:ascii="Calibri" w:eastAsia="Arial Unicode MS" w:hAnsi="Calibri" w:cs="Arial Unicode MS"/>
        </w:rPr>
      </w:pPr>
      <w:r w:rsidRPr="00FC64AC">
        <w:rPr>
          <w:rFonts w:ascii="Calibri" w:eastAsia="Arial Unicode MS" w:hAnsi="Calibri" w:cs="Calibri"/>
          <w:sz w:val="22"/>
          <w:szCs w:val="22"/>
        </w:rPr>
        <w:t>ετησίως</w:t>
      </w:r>
      <w:r w:rsidRPr="00D76A2F">
        <w:rPr>
          <w:rFonts w:ascii="Calibri" w:eastAsia="Arial Unicode MS" w:hAnsi="Calibri" w:cs="Arial Unicode MS"/>
        </w:rPr>
        <w:t xml:space="preserve"> μεταξύ της 1ης </w:t>
      </w:r>
      <w:r w:rsidRPr="00747A2E">
        <w:rPr>
          <w:rFonts w:ascii="Calibri" w:eastAsia="Arial Unicode MS" w:hAnsi="Calibri" w:cs="Arial Unicode MS"/>
        </w:rPr>
        <w:t>Απριλίου και 31ης Ιουλίου</w:t>
      </w:r>
      <w:r w:rsidRPr="00D76A2F">
        <w:rPr>
          <w:rFonts w:ascii="Calibri" w:eastAsia="Arial Unicode MS" w:hAnsi="Calibri" w:cs="Arial Unicode MS"/>
        </w:rPr>
        <w:t xml:space="preserve"> του έτους πο</w:t>
      </w:r>
      <w:r w:rsidR="00FC64AC">
        <w:rPr>
          <w:rFonts w:ascii="Calibri" w:eastAsia="Arial Unicode MS" w:hAnsi="Calibri" w:cs="Arial Unicode MS"/>
        </w:rPr>
        <w:t xml:space="preserve">υ έπεται της περιόδου αναφοράς, για τις έρευνες </w:t>
      </w:r>
      <w:r w:rsidR="00FC64AC">
        <w:rPr>
          <w:rFonts w:ascii="Calibri" w:eastAsia="Arial Unicode MS" w:hAnsi="Calibri" w:cs="Arial Unicode MS"/>
          <w:lang w:val="en-US"/>
        </w:rPr>
        <w:t>FDI</w:t>
      </w:r>
      <w:r w:rsidR="00FC64AC" w:rsidRPr="00FC64AC">
        <w:rPr>
          <w:rFonts w:ascii="Calibri" w:eastAsia="Arial Unicode MS" w:hAnsi="Calibri" w:cs="Arial Unicode MS"/>
        </w:rPr>
        <w:t xml:space="preserve"> </w:t>
      </w:r>
      <w:r w:rsidR="00FC64AC">
        <w:rPr>
          <w:rFonts w:ascii="Calibri" w:eastAsia="Arial Unicode MS" w:hAnsi="Calibri" w:cs="Arial Unicode MS"/>
        </w:rPr>
        <w:t>και</w:t>
      </w:r>
      <w:r w:rsidR="00666BA6" w:rsidRPr="00F51725">
        <w:rPr>
          <w:rFonts w:ascii="Calibri" w:eastAsia="Arial Unicode MS" w:hAnsi="Calibri" w:cs="Arial Unicode MS"/>
        </w:rPr>
        <w:t xml:space="preserve"> </w:t>
      </w:r>
      <w:r w:rsidR="00666BA6">
        <w:rPr>
          <w:rFonts w:ascii="Calibri" w:eastAsia="Arial Unicode MS" w:hAnsi="Calibri" w:cs="Arial Unicode MS"/>
          <w:lang w:val="en-US"/>
        </w:rPr>
        <w:t>A</w:t>
      </w:r>
      <w:r w:rsidR="00666BA6" w:rsidRPr="00F51725">
        <w:rPr>
          <w:rFonts w:ascii="Calibri" w:eastAsia="Arial Unicode MS" w:hAnsi="Calibri" w:cs="Arial Unicode MS"/>
        </w:rPr>
        <w:t>/</w:t>
      </w:r>
      <w:r w:rsidR="00666BA6">
        <w:rPr>
          <w:rFonts w:ascii="Calibri" w:eastAsia="Arial Unicode MS" w:hAnsi="Calibri" w:cs="Arial Unicode MS"/>
          <w:lang w:val="en-US"/>
        </w:rPr>
        <w:t>L</w:t>
      </w:r>
      <w:r w:rsidR="00FC64AC">
        <w:rPr>
          <w:rFonts w:ascii="Calibri" w:eastAsia="Arial Unicode MS" w:hAnsi="Calibri" w:cs="Arial Unicode MS"/>
        </w:rPr>
        <w:t>.</w:t>
      </w:r>
    </w:p>
    <w:p w14:paraId="2A3EE4AA" w14:textId="332D5EDD" w:rsidR="00FC64AC" w:rsidRDefault="00FC64AC" w:rsidP="00103BF4">
      <w:pPr>
        <w:pStyle w:val="Default"/>
        <w:numPr>
          <w:ilvl w:val="0"/>
          <w:numId w:val="6"/>
        </w:numPr>
        <w:jc w:val="both"/>
        <w:rPr>
          <w:rFonts w:ascii="Calibri" w:eastAsia="Arial Unicode MS" w:hAnsi="Calibri" w:cs="Arial Unicode MS"/>
        </w:rPr>
      </w:pPr>
      <w:r>
        <w:rPr>
          <w:rFonts w:ascii="Calibri" w:eastAsia="Arial Unicode MS" w:hAnsi="Calibri" w:cs="Arial Unicode MS"/>
        </w:rPr>
        <w:t xml:space="preserve">εντός 17 μηνών από τη λήξη της περιόδου αναφοράς, για την έρευνα </w:t>
      </w:r>
      <w:r>
        <w:rPr>
          <w:rFonts w:ascii="Calibri" w:eastAsia="Arial Unicode MS" w:hAnsi="Calibri" w:cs="Arial Unicode MS"/>
          <w:lang w:val="en-US"/>
        </w:rPr>
        <w:t>OFATS</w:t>
      </w:r>
      <w:r w:rsidRPr="00FC64AC">
        <w:rPr>
          <w:rFonts w:ascii="Calibri" w:eastAsia="Arial Unicode MS" w:hAnsi="Calibri" w:cs="Arial Unicode MS"/>
        </w:rPr>
        <w:t>.</w:t>
      </w:r>
    </w:p>
    <w:p w14:paraId="604E4CA7" w14:textId="6C666471"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Το σύστημα θα είναι ανοικτό για υποβολή στοιχείων όλες τις ημέρες και ώρες της εβδομάδας, αλλά τεχνική υποστήριξη θα υπάρχει μόνο κατά τις εργάσιμες ημέρες από 8.00 π.μ. έως 15.00 μ.μ.</w:t>
      </w:r>
    </w:p>
    <w:p w14:paraId="383F4750" w14:textId="77777777" w:rsidR="00081C00" w:rsidRPr="00D76A2F" w:rsidRDefault="00081C00" w:rsidP="00081C00">
      <w:pPr>
        <w:spacing w:before="120" w:after="120" w:line="360" w:lineRule="exact"/>
        <w:jc w:val="both"/>
        <w:rPr>
          <w:rFonts w:ascii="Calibri" w:eastAsia="Arial Unicode MS" w:hAnsi="Calibri" w:cs="Arial Unicode MS"/>
        </w:rPr>
      </w:pPr>
    </w:p>
    <w:p w14:paraId="6E9F8A12"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Περίοδος αναφοράς</w:t>
      </w:r>
      <w:r w:rsidRPr="00D76A2F">
        <w:rPr>
          <w:rFonts w:ascii="Calibri" w:eastAsia="Arial Unicode MS" w:hAnsi="Calibri" w:cs="Arial Unicode MS"/>
        </w:rPr>
        <w:tab/>
      </w:r>
    </w:p>
    <w:p w14:paraId="7229C24F" w14:textId="77777777" w:rsidR="00114F75" w:rsidRPr="009F2642" w:rsidRDefault="00114F75" w:rsidP="00114F75">
      <w:pPr>
        <w:spacing w:before="120" w:after="120" w:line="360" w:lineRule="exact"/>
        <w:jc w:val="both"/>
        <w:rPr>
          <w:rFonts w:ascii="Calibri" w:eastAsia="Arial Unicode MS" w:hAnsi="Calibri" w:cs="Calibri"/>
        </w:rPr>
      </w:pPr>
      <w:r w:rsidRPr="009F2642">
        <w:rPr>
          <w:rFonts w:ascii="Calibri" w:eastAsia="Arial Unicode MS" w:hAnsi="Calibri" w:cs="Calibri"/>
        </w:rPr>
        <w:t xml:space="preserve">Η περίοδος αναφοράς είναι </w:t>
      </w:r>
      <w:r>
        <w:rPr>
          <w:rFonts w:ascii="Calibri" w:eastAsia="Arial Unicode MS" w:hAnsi="Calibri" w:cs="Calibri"/>
        </w:rPr>
        <w:t>η 31/12 του</w:t>
      </w:r>
      <w:r w:rsidRPr="009F2642">
        <w:rPr>
          <w:rFonts w:ascii="Calibri" w:eastAsia="Arial Unicode MS" w:hAnsi="Calibri" w:cs="Calibri"/>
        </w:rPr>
        <w:t xml:space="preserve"> έτο</w:t>
      </w:r>
      <w:r>
        <w:rPr>
          <w:rFonts w:ascii="Calibri" w:eastAsia="Arial Unicode MS" w:hAnsi="Calibri" w:cs="Calibri"/>
        </w:rPr>
        <w:t>υ</w:t>
      </w:r>
      <w:r w:rsidRPr="009F2642">
        <w:rPr>
          <w:rFonts w:ascii="Calibri" w:eastAsia="Arial Unicode MS" w:hAnsi="Calibri" w:cs="Calibri"/>
        </w:rPr>
        <w:t xml:space="preserve">ς </w:t>
      </w:r>
      <w:r>
        <w:rPr>
          <w:rFonts w:ascii="Calibri" w:eastAsia="Arial Unicode MS" w:hAnsi="Calibri" w:cs="Calibri"/>
        </w:rPr>
        <w:t>για το οποίο υποβάλλονται τα στοιχεία</w:t>
      </w:r>
      <w:r w:rsidRPr="009F2642">
        <w:rPr>
          <w:rFonts w:ascii="Calibri" w:eastAsia="Arial Unicode MS" w:hAnsi="Calibri" w:cs="Calibri"/>
        </w:rPr>
        <w:t xml:space="preserve">.  </w:t>
      </w:r>
    </w:p>
    <w:p w14:paraId="5E93AD03" w14:textId="77777777"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Σε περίπτωση που η λογιστική χρήση δεν λήγει την 31/12 του έτους αναφοράς, ζητείται να υπολογιστούν τα στοιχεία της 31/12. Εάν αυτό δεν είναι εφικτό, για την αποφυγή επιπλέον φόρτου εργασίας, υποβάλλονται τα ζητούμενα στοιχεία βάσει της ημερομηνίας σύνταξης του τελευταίου (εγκεκριμένου ή μη) ισολογισμού και κάθε έτος θα πρέπει να τηρείται η συνέπεια της ετήσιας μεταβολής των στοιχείων.</w:t>
      </w:r>
    </w:p>
    <w:p w14:paraId="62613CB5" w14:textId="77777777" w:rsidR="00081C00" w:rsidRPr="00D76A2F" w:rsidRDefault="00081C00" w:rsidP="00081C00">
      <w:pPr>
        <w:spacing w:before="120" w:after="120" w:line="360" w:lineRule="exact"/>
        <w:jc w:val="both"/>
        <w:rPr>
          <w:rFonts w:ascii="Calibri" w:eastAsia="Arial Unicode MS" w:hAnsi="Calibri" w:cs="Arial Unicode MS"/>
        </w:rPr>
      </w:pPr>
    </w:p>
    <w:p w14:paraId="4762C5D1"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Μη διαθεσιμότητα των στοιχείων</w:t>
      </w:r>
    </w:p>
    <w:p w14:paraId="334BC981" w14:textId="1AC4647C" w:rsidR="00081C00"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Εάν κάποιο από τα ζητούμενα στοιχεία δεν είναι (ακόμη) διαθέσιμο (π.χ. λόγω μη οριστικοποιημένων λογιστικών καταστάσεων), οι αναγγέλλοντες καλούνται να υποβάλλουν προσωρινά ή κατ’εκτίμηση στοιχεία προκειμένου να αποφευχθεί η εκπρόθεσμη υποβολή </w:t>
      </w:r>
      <w:r>
        <w:rPr>
          <w:rFonts w:ascii="Calibri" w:eastAsia="Arial Unicode MS" w:hAnsi="Calibri" w:cs="Arial Unicode MS"/>
        </w:rPr>
        <w:t>του ερωτηματολογίου</w:t>
      </w:r>
      <w:r w:rsidRPr="00D76A2F">
        <w:rPr>
          <w:rFonts w:ascii="Calibri" w:eastAsia="Arial Unicode MS" w:hAnsi="Calibri" w:cs="Arial Unicode MS"/>
        </w:rPr>
        <w:t>. Οι αναγγέλλοντες καλούνται να υποβάλλουν αναθεωρημένα στοιχεία μόνο στην περίπτωση που τα οριστικά στοιχεία αποκλίνουν σημαντικά από τα υποβληθέντα προσωρινά (βλ. παρ. 1.</w:t>
      </w:r>
      <w:r w:rsidRPr="000030E8">
        <w:rPr>
          <w:rFonts w:ascii="Calibri" w:eastAsia="Arial Unicode MS" w:hAnsi="Calibri" w:cs="Arial Unicode MS"/>
        </w:rPr>
        <w:t>10</w:t>
      </w:r>
      <w:r w:rsidRPr="00D76A2F">
        <w:rPr>
          <w:rFonts w:ascii="Calibri" w:eastAsia="Arial Unicode MS" w:hAnsi="Calibri" w:cs="Arial Unicode MS"/>
        </w:rPr>
        <w:t>).</w:t>
      </w:r>
    </w:p>
    <w:p w14:paraId="11EB4A0F" w14:textId="77777777" w:rsidR="00114F75" w:rsidRDefault="00114F75" w:rsidP="00114F75">
      <w:pPr>
        <w:spacing w:before="120" w:after="120" w:line="360" w:lineRule="exact"/>
        <w:jc w:val="both"/>
        <w:rPr>
          <w:rFonts w:ascii="Calibri" w:eastAsia="Arial Unicode MS" w:hAnsi="Calibri" w:cs="Calibri"/>
        </w:rPr>
      </w:pPr>
      <w:r>
        <w:rPr>
          <w:rFonts w:ascii="Calibri" w:eastAsia="Arial Unicode MS" w:hAnsi="Calibri" w:cs="Calibri"/>
        </w:rPr>
        <w:t>Τονίζεται ότι, ο αναγγέλλοντας δεν πρέπει να προχωρήσει σε υποβολή με διαγραμμένα τα στατιστικά στοιχεία που δεν είναι σε θέση να επικαιροποιήσει ή να εκτιμήσει. Σε αυτή την περίπτωση πρέπει να αντιγράφονται τα στοιχεία που υποβλήθηκαν κατά το προηγούμενο έτος αναφοράς.</w:t>
      </w:r>
      <w:r w:rsidRPr="003B6BDB">
        <w:rPr>
          <w:rFonts w:ascii="Calibri" w:eastAsia="Arial Unicode MS" w:hAnsi="Calibri" w:cs="Calibri"/>
        </w:rPr>
        <w:t xml:space="preserve"> </w:t>
      </w:r>
      <w:r>
        <w:rPr>
          <w:rFonts w:ascii="Calibri" w:eastAsia="Arial Unicode MS" w:hAnsi="Calibri" w:cs="Calibri"/>
        </w:rPr>
        <w:t>Τα στοιχεία διαγράφονται μόνο όταν η θέση έπαψε να υφίσταται.</w:t>
      </w:r>
    </w:p>
    <w:p w14:paraId="7B4FB3BF" w14:textId="77777777" w:rsidR="00114F75" w:rsidRPr="00D76A2F" w:rsidRDefault="00114F75" w:rsidP="00081C00">
      <w:pPr>
        <w:spacing w:before="120" w:after="120" w:line="360" w:lineRule="exact"/>
        <w:jc w:val="both"/>
        <w:rPr>
          <w:rFonts w:ascii="Calibri" w:eastAsia="Arial Unicode MS" w:hAnsi="Calibri" w:cs="Arial Unicode MS"/>
        </w:rPr>
      </w:pPr>
    </w:p>
    <w:p w14:paraId="7D7E26E3" w14:textId="77777777" w:rsidR="00081C00" w:rsidRPr="00D76A2F" w:rsidRDefault="00081C00" w:rsidP="00081C00">
      <w:pPr>
        <w:spacing w:before="120" w:after="120" w:line="360" w:lineRule="exact"/>
        <w:jc w:val="both"/>
        <w:rPr>
          <w:rFonts w:ascii="Calibri" w:eastAsia="Arial Unicode MS" w:hAnsi="Calibri" w:cs="Arial Unicode MS"/>
        </w:rPr>
      </w:pPr>
    </w:p>
    <w:p w14:paraId="6BA6C82D"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 xml:space="preserve">Εκπρόθεσμη υποβολή </w:t>
      </w:r>
    </w:p>
    <w:p w14:paraId="785A4DF8" w14:textId="77777777" w:rsidR="00081C00" w:rsidRPr="00D76A2F" w:rsidRDefault="00081C00" w:rsidP="00081C00">
      <w:pPr>
        <w:spacing w:before="120" w:after="120" w:line="360" w:lineRule="exact"/>
        <w:jc w:val="both"/>
        <w:rPr>
          <w:rFonts w:ascii="Calibri" w:eastAsia="Arial Unicode MS" w:hAnsi="Calibri" w:cs="Arial Unicode MS"/>
        </w:rPr>
      </w:pPr>
      <w:r w:rsidRPr="00FA5CF2">
        <w:rPr>
          <w:rFonts w:ascii="Calibri" w:eastAsia="Arial Unicode MS" w:hAnsi="Calibri" w:cs="Arial Unicode MS"/>
        </w:rPr>
        <w:t>Σε περίπτωση αδυναμίας συμμόρφωσης ως προς την προθεσμία υποβολής, θα πρέπει να υπάρξει σχετική επικοινωνία με το Τμήμα Κατάρτισης Λογαριασμών Εξωτερικού Τομέα. Η άρνηση παροχής στατιστικών στοιχείων και πληροφοριών τιμωρείται με πρόστιμο σύμφωνα με τις διατάξεις του άρθρου 55Γ του Καταστατικού της Τράπεζας της Ελλάδος, όπως κυρώθηκε με τους Ν. 2609/1998 και 2832/2000.</w:t>
      </w:r>
      <w:r w:rsidRPr="00D76A2F">
        <w:rPr>
          <w:rFonts w:ascii="Calibri" w:eastAsia="Arial Unicode MS" w:hAnsi="Calibri" w:cs="Arial Unicode MS"/>
        </w:rPr>
        <w:t xml:space="preserve"> </w:t>
      </w:r>
    </w:p>
    <w:p w14:paraId="0C835E64" w14:textId="77777777" w:rsidR="00081C00" w:rsidRPr="00D76A2F" w:rsidRDefault="00081C00" w:rsidP="00081C00">
      <w:pPr>
        <w:spacing w:before="120" w:after="120" w:line="360" w:lineRule="exact"/>
        <w:jc w:val="both"/>
        <w:rPr>
          <w:rFonts w:ascii="Calibri" w:eastAsia="Arial Unicode MS" w:hAnsi="Calibri" w:cs="Arial Unicode MS"/>
        </w:rPr>
      </w:pPr>
    </w:p>
    <w:p w14:paraId="26C8EB9C" w14:textId="31CD3E4B" w:rsidR="00081C00" w:rsidRPr="00D76A2F" w:rsidRDefault="00081C00" w:rsidP="00081C00">
      <w:pPr>
        <w:pStyle w:val="Heading2"/>
        <w:spacing w:before="120" w:after="120" w:line="360" w:lineRule="exact"/>
        <w:ind w:left="426"/>
        <w:jc w:val="both"/>
        <w:rPr>
          <w:rFonts w:ascii="Calibri" w:eastAsia="Arial Unicode MS" w:hAnsi="Calibri" w:cs="Arial Unicode MS"/>
        </w:rPr>
      </w:pPr>
      <w:r>
        <w:rPr>
          <w:rFonts w:ascii="Calibri" w:eastAsia="Arial Unicode MS" w:hAnsi="Calibri" w:cs="Arial Unicode MS"/>
        </w:rPr>
        <w:t>Υποβολή στοιχείων</w:t>
      </w:r>
    </w:p>
    <w:p w14:paraId="382CF684" w14:textId="77777777" w:rsidR="00114F75" w:rsidRPr="009F2642" w:rsidRDefault="00114F75" w:rsidP="00114F75">
      <w:pPr>
        <w:spacing w:before="120" w:after="120" w:line="360" w:lineRule="exact"/>
        <w:jc w:val="both"/>
        <w:rPr>
          <w:rFonts w:ascii="Calibri" w:eastAsia="Arial Unicode MS" w:hAnsi="Calibri" w:cs="Calibri"/>
        </w:rPr>
      </w:pPr>
      <w:r w:rsidRPr="009F2642">
        <w:rPr>
          <w:rFonts w:ascii="Calibri" w:eastAsia="Arial Unicode MS" w:hAnsi="Calibri" w:cs="Calibri"/>
        </w:rPr>
        <w:t xml:space="preserve">Τα υποστηρικτικά έγγραφα (εγχειρίδια χρήσης, τεχνικές οδηγίες, συνοπτικές οδηγίες και υποδείγματα) αποστέλλονται ηλεκτρονικά στους εγγεγραμμένους χρήστες του IRIS. Οι νέοι χρήστες του </w:t>
      </w:r>
      <w:r w:rsidRPr="009F2642">
        <w:rPr>
          <w:rFonts w:ascii="Calibri" w:eastAsia="Arial Unicode MS" w:hAnsi="Calibri" w:cs="Calibri"/>
          <w:lang w:val="en-US"/>
        </w:rPr>
        <w:t>IRIS</w:t>
      </w:r>
      <w:r w:rsidRPr="009F2642">
        <w:rPr>
          <w:rFonts w:ascii="Calibri" w:eastAsia="Arial Unicode MS" w:hAnsi="Calibri" w:cs="Calibri"/>
        </w:rPr>
        <w:t xml:space="preserve"> θα πρέπει να επικοινωνήσουν με το Τμήμα Κατάρτισης Λογαριασμών Εξωτερικού Τομέα της Διεύθυνσης Στατιστικής.</w:t>
      </w:r>
    </w:p>
    <w:p w14:paraId="60FEBC19" w14:textId="77777777" w:rsidR="00114F75" w:rsidRPr="009F2642" w:rsidRDefault="00114F75" w:rsidP="00114F75">
      <w:pPr>
        <w:spacing w:before="120" w:after="120" w:line="360" w:lineRule="exact"/>
        <w:jc w:val="both"/>
        <w:rPr>
          <w:rFonts w:ascii="Calibri" w:eastAsia="Arial Unicode MS" w:hAnsi="Calibri" w:cs="Calibri"/>
        </w:rPr>
      </w:pPr>
      <w:r w:rsidRPr="009F2642">
        <w:rPr>
          <w:rFonts w:ascii="Calibri" w:eastAsia="Arial Unicode MS" w:hAnsi="Calibri" w:cs="Calibri"/>
        </w:rPr>
        <w:t>Οι αναγγέλλοντες καλούνται να συμπληρώσουν το υπόδειγμα της έρευνας για την οποία έχουν υποχρέωση υποβολής και να το αποστείλουν ηλεκτρονικά (upload) μέσω της εφαρμογής “</w:t>
      </w:r>
      <w:r w:rsidRPr="009F2642">
        <w:rPr>
          <w:rFonts w:ascii="Calibri" w:eastAsia="Arial Unicode MS" w:hAnsi="Calibri" w:cs="Calibri"/>
          <w:lang w:val="en-US"/>
        </w:rPr>
        <w:t>ESS</w:t>
      </w:r>
      <w:r w:rsidRPr="009F2642">
        <w:rPr>
          <w:rFonts w:ascii="Calibri" w:eastAsia="Arial Unicode MS" w:hAnsi="Calibri" w:cs="Calibri"/>
        </w:rPr>
        <w:t xml:space="preserve">” του συστήματος </w:t>
      </w:r>
      <w:r w:rsidRPr="009F2642">
        <w:rPr>
          <w:rFonts w:ascii="Calibri" w:eastAsia="Arial Unicode MS" w:hAnsi="Calibri" w:cs="Calibri"/>
          <w:lang w:val="en-US"/>
        </w:rPr>
        <w:t>IRIS</w:t>
      </w:r>
      <w:r w:rsidRPr="009F2642">
        <w:rPr>
          <w:rFonts w:ascii="Calibri" w:eastAsia="Arial Unicode MS" w:hAnsi="Calibri" w:cs="Calibri"/>
        </w:rPr>
        <w:t xml:space="preserve">. </w:t>
      </w:r>
    </w:p>
    <w:p w14:paraId="278307FD" w14:textId="77777777" w:rsidR="00114F75" w:rsidRPr="009F2642" w:rsidRDefault="00114F75" w:rsidP="00114F75">
      <w:pPr>
        <w:spacing w:before="120" w:after="120" w:line="360" w:lineRule="exact"/>
        <w:jc w:val="both"/>
        <w:rPr>
          <w:rFonts w:ascii="Calibri" w:eastAsia="Arial Unicode MS" w:hAnsi="Calibri" w:cs="Calibri"/>
          <w:b/>
        </w:rPr>
      </w:pPr>
      <w:r w:rsidRPr="009F2642">
        <w:rPr>
          <w:rFonts w:ascii="Calibri" w:eastAsia="Arial Unicode MS" w:hAnsi="Calibri" w:cs="Calibri"/>
          <w:b/>
        </w:rPr>
        <w:t>Τονίζεται ότι, πριν την υποβολή στοιχείων σε οποιαδήποτε εκ των ετήσιων ερευνών (</w:t>
      </w:r>
      <w:r w:rsidRPr="009F2642">
        <w:rPr>
          <w:rFonts w:ascii="Calibri" w:eastAsia="Arial Unicode MS" w:hAnsi="Calibri" w:cs="Calibri"/>
          <w:b/>
          <w:lang w:val="en-US"/>
        </w:rPr>
        <w:t>FDI</w:t>
      </w:r>
      <w:r w:rsidRPr="009F2642">
        <w:rPr>
          <w:rFonts w:ascii="Calibri" w:eastAsia="Arial Unicode MS" w:hAnsi="Calibri" w:cs="Calibri"/>
          <w:b/>
        </w:rPr>
        <w:t xml:space="preserve">, </w:t>
      </w:r>
      <w:r w:rsidRPr="009F2642">
        <w:rPr>
          <w:rFonts w:ascii="Calibri" w:eastAsia="Arial Unicode MS" w:hAnsi="Calibri" w:cs="Calibri"/>
          <w:b/>
          <w:lang w:val="en-US"/>
        </w:rPr>
        <w:t>OFATS</w:t>
      </w:r>
      <w:r w:rsidRPr="009F2642">
        <w:rPr>
          <w:rFonts w:ascii="Calibri" w:eastAsia="Arial Unicode MS" w:hAnsi="Calibri" w:cs="Calibri"/>
          <w:b/>
        </w:rPr>
        <w:t xml:space="preserve">, </w:t>
      </w:r>
      <w:r w:rsidRPr="009F2642">
        <w:rPr>
          <w:rFonts w:ascii="Calibri" w:eastAsia="Arial Unicode MS" w:hAnsi="Calibri" w:cs="Calibri"/>
          <w:b/>
          <w:lang w:val="en-US"/>
        </w:rPr>
        <w:t>AL</w:t>
      </w:r>
      <w:r w:rsidRPr="009F2642">
        <w:rPr>
          <w:rFonts w:ascii="Calibri" w:eastAsia="Arial Unicode MS" w:hAnsi="Calibri" w:cs="Calibri"/>
          <w:b/>
        </w:rPr>
        <w:t xml:space="preserve">), </w:t>
      </w:r>
      <w:r w:rsidRPr="009F2642">
        <w:rPr>
          <w:rFonts w:ascii="Calibri" w:eastAsia="Arial Unicode MS" w:hAnsi="Calibri" w:cs="Calibri"/>
          <w:b/>
          <w:u w:val="single"/>
        </w:rPr>
        <w:t>πρέπει να προηγηθεί η επιτυχής υποβολή του υποδείγματος «Γενικά Στοιχεία Αναγγέλλοντος» για το συγκεκριμένο έτος αναφοράς</w:t>
      </w:r>
      <w:r w:rsidRPr="009F2642">
        <w:rPr>
          <w:rFonts w:ascii="Calibri" w:eastAsia="Arial Unicode MS" w:hAnsi="Calibri" w:cs="Calibri"/>
          <w:b/>
        </w:rPr>
        <w:t>.</w:t>
      </w:r>
    </w:p>
    <w:p w14:paraId="68D646E1" w14:textId="77777777" w:rsidR="00114F75" w:rsidRPr="009F2642" w:rsidRDefault="00114F75" w:rsidP="00114F75">
      <w:pPr>
        <w:spacing w:before="120" w:after="120" w:line="360" w:lineRule="exact"/>
        <w:jc w:val="both"/>
        <w:rPr>
          <w:rFonts w:ascii="Calibri" w:eastAsia="Arial Unicode MS" w:hAnsi="Calibri" w:cs="Calibri"/>
        </w:rPr>
      </w:pPr>
      <w:r w:rsidRPr="009F2642">
        <w:rPr>
          <w:rFonts w:ascii="Calibri" w:eastAsia="Arial Unicode MS" w:hAnsi="Calibri" w:cs="Calibri"/>
        </w:rPr>
        <w:t>Στη συνέχεια εκτελείται αυτοματοποιημένη επεξεργασία του αρχείου που υποβλήθηκε με την οποία διασφαλίζεται η ποιότητα και η ορθότητα των στοιχείων. Αφού αυτή ολοκληρωθεί, αποστέλλεται αυτοματοποιημένο μήνυμα στην διεύθυνση ηλεκτρονικού ταχυδρομείου του αναγγέλλοντος με το αποτέλεσμα της επεξεργασίας (Αποδεκτό – Αποδεκτό με παραλείψεις - Απορρίφθηκε). Για κάθε υποβολή, αναρτάται το αντίστοιχο «Αποδεικτικό Υποβολής» (ΑΥΠ) στην εφαρμογή “</w:t>
      </w:r>
      <w:r w:rsidRPr="009F2642">
        <w:rPr>
          <w:rFonts w:ascii="Calibri" w:eastAsia="Arial Unicode MS" w:hAnsi="Calibri" w:cs="Calibri"/>
          <w:lang w:val="en-US"/>
        </w:rPr>
        <w:t>ESS</w:t>
      </w:r>
      <w:r w:rsidRPr="009F2642">
        <w:rPr>
          <w:rFonts w:ascii="Calibri" w:eastAsia="Arial Unicode MS" w:hAnsi="Calibri" w:cs="Calibri"/>
        </w:rPr>
        <w:t>” που περιλαμβάνει το σύνολο των υποβληθέντων στοιχείων και το αποτέλεσμα της αυτοματοποιημένης επεξεργασίας τους.</w:t>
      </w:r>
    </w:p>
    <w:p w14:paraId="1C51DC51" w14:textId="77777777" w:rsidR="00406BE5" w:rsidRPr="00D76A2F" w:rsidRDefault="00406BE5" w:rsidP="00081C00">
      <w:pPr>
        <w:spacing w:before="120" w:after="120" w:line="360" w:lineRule="exact"/>
        <w:jc w:val="both"/>
        <w:rPr>
          <w:rFonts w:ascii="Calibri" w:eastAsia="Arial Unicode MS" w:hAnsi="Calibri" w:cs="Arial Unicode MS"/>
        </w:rPr>
      </w:pPr>
    </w:p>
    <w:p w14:paraId="360A2034"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Αναθεώρηση στοιχείων</w:t>
      </w:r>
    </w:p>
    <w:p w14:paraId="3D822A21" w14:textId="3E243042" w:rsidR="00081C00" w:rsidRPr="00D76A2F" w:rsidRDefault="00081C00" w:rsidP="00081C00">
      <w:pPr>
        <w:spacing w:before="120" w:after="120" w:line="360" w:lineRule="exact"/>
        <w:jc w:val="both"/>
        <w:rPr>
          <w:rFonts w:ascii="Calibri" w:eastAsia="Arial Unicode MS" w:hAnsi="Calibri" w:cs="Arial Unicode MS"/>
        </w:rPr>
      </w:pPr>
      <w:r>
        <w:rPr>
          <w:rFonts w:ascii="Calibri" w:eastAsia="Arial Unicode MS" w:hAnsi="Calibri" w:cs="Arial Unicode MS"/>
        </w:rPr>
        <w:t xml:space="preserve">Ο αναγγέλλοντας </w:t>
      </w:r>
      <w:r w:rsidRPr="00D76A2F">
        <w:rPr>
          <w:rFonts w:ascii="Calibri" w:eastAsia="Arial Unicode MS" w:hAnsi="Calibri" w:cs="Arial Unicode MS"/>
        </w:rPr>
        <w:t xml:space="preserve">έχει τη δυνατότητα να αναθεωρήσει τα υποβληθέντα στοιχεία της περιόδου αναφοράς υπό την προϋπόθεση ότι δεν έχει λήξει η περίοδος υποβολής. Κάθε φορά που κάνει οριστική υποβολή ακυρώνεται η προηγούμενη και ενημερώνεται το «αρχείο υποβολών». Μόνο η τελευταία επιτυχής οριστική υποβολή θεωρείται έγκυρη και λαμβάνεται υπόψη. </w:t>
      </w:r>
    </w:p>
    <w:p w14:paraId="45971984" w14:textId="77777777"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Η εκπρόθεσμη αναθεώρηση στοιχείων είναι δυνατή κατόπιν επικοινωνίας και έγκρισης από το Τμήμα Κατάρτισης Λογαριασμών Εξωτερικού Τομέα της Διεύθυνσης Στατιστικής. </w:t>
      </w:r>
    </w:p>
    <w:p w14:paraId="26B87346" w14:textId="77777777" w:rsidR="00081C00" w:rsidRPr="00D76A2F" w:rsidRDefault="00081C00" w:rsidP="00081C00">
      <w:pPr>
        <w:spacing w:before="120" w:after="120" w:line="360" w:lineRule="exact"/>
        <w:jc w:val="both"/>
        <w:rPr>
          <w:rFonts w:ascii="Calibri" w:eastAsia="Arial Unicode MS" w:hAnsi="Calibri" w:cs="Arial Unicode MS"/>
        </w:rPr>
      </w:pPr>
    </w:p>
    <w:p w14:paraId="3192B222" w14:textId="77777777" w:rsidR="00114F75" w:rsidRPr="009F2642" w:rsidRDefault="00114F75" w:rsidP="00114F75">
      <w:pPr>
        <w:pStyle w:val="Heading2"/>
        <w:spacing w:before="120" w:after="120" w:line="360" w:lineRule="exact"/>
        <w:ind w:left="426"/>
        <w:jc w:val="both"/>
        <w:rPr>
          <w:rFonts w:ascii="Calibri" w:eastAsia="Arial Unicode MS" w:hAnsi="Calibri" w:cs="Calibri"/>
        </w:rPr>
      </w:pPr>
      <w:bookmarkStart w:id="9" w:name="_Toc37934388"/>
      <w:bookmarkStart w:id="10" w:name="_Toc69282840"/>
      <w:r w:rsidRPr="009F2642">
        <w:rPr>
          <w:rFonts w:ascii="Calibri" w:eastAsia="Arial Unicode MS" w:hAnsi="Calibri" w:cs="Calibri"/>
        </w:rPr>
        <w:t xml:space="preserve">Ιστορικό </w:t>
      </w:r>
      <w:bookmarkEnd w:id="9"/>
      <w:r w:rsidRPr="009F2642">
        <w:rPr>
          <w:rFonts w:ascii="Calibri" w:eastAsia="Arial Unicode MS" w:hAnsi="Calibri" w:cs="Calibri"/>
        </w:rPr>
        <w:t>ανταλλαγής αρχείων</w:t>
      </w:r>
      <w:bookmarkEnd w:id="10"/>
    </w:p>
    <w:p w14:paraId="45BA2257" w14:textId="5AB2A697" w:rsidR="00081C00" w:rsidRPr="00D76A2F" w:rsidRDefault="00BC4312" w:rsidP="00081C00">
      <w:pPr>
        <w:spacing w:before="120" w:after="120" w:line="360" w:lineRule="exact"/>
        <w:jc w:val="both"/>
        <w:rPr>
          <w:rFonts w:ascii="Calibri" w:eastAsia="Arial Unicode MS" w:hAnsi="Calibri" w:cs="Arial Unicode MS"/>
        </w:rPr>
      </w:pPr>
      <w:r w:rsidRPr="00B00251">
        <w:rPr>
          <w:rFonts w:ascii="Calibri" w:eastAsia="Arial Unicode MS" w:hAnsi="Calibri" w:cs="Arial Unicode MS"/>
        </w:rPr>
        <w:t>Οι αναγγέλλοντες</w:t>
      </w:r>
      <w:r>
        <w:rPr>
          <w:rFonts w:ascii="Calibri" w:eastAsia="Arial Unicode MS" w:hAnsi="Calibri" w:cs="Arial Unicode MS"/>
        </w:rPr>
        <w:t>,</w:t>
      </w:r>
      <w:r w:rsidRPr="00B00251">
        <w:rPr>
          <w:rFonts w:ascii="Calibri" w:eastAsia="Arial Unicode MS" w:hAnsi="Calibri" w:cs="Arial Unicode MS"/>
        </w:rPr>
        <w:t xml:space="preserve"> </w:t>
      </w:r>
      <w:r>
        <w:rPr>
          <w:rFonts w:ascii="Calibri" w:eastAsia="Arial Unicode MS" w:hAnsi="Calibri" w:cs="Arial Unicode MS"/>
        </w:rPr>
        <w:t xml:space="preserve">μέσω της εφαρμογής </w:t>
      </w:r>
      <w:r w:rsidRPr="00FC64AC">
        <w:rPr>
          <w:rFonts w:ascii="Calibri" w:eastAsia="Arial Unicode MS" w:hAnsi="Calibri" w:cs="Arial Unicode MS"/>
        </w:rPr>
        <w:t>“</w:t>
      </w:r>
      <w:r>
        <w:rPr>
          <w:rFonts w:ascii="Calibri" w:eastAsia="Arial Unicode MS" w:hAnsi="Calibri" w:cs="Arial Unicode MS"/>
          <w:lang w:val="en-US"/>
        </w:rPr>
        <w:t>ESS</w:t>
      </w:r>
      <w:r w:rsidRPr="00FC64AC">
        <w:rPr>
          <w:rFonts w:ascii="Calibri" w:eastAsia="Arial Unicode MS" w:hAnsi="Calibri" w:cs="Arial Unicode MS"/>
        </w:rPr>
        <w:t>”</w:t>
      </w:r>
      <w:r>
        <w:rPr>
          <w:rFonts w:ascii="Calibri" w:eastAsia="Arial Unicode MS" w:hAnsi="Calibri" w:cs="Arial Unicode MS"/>
        </w:rPr>
        <w:t>, έχουν</w:t>
      </w:r>
      <w:r w:rsidR="00081C00" w:rsidRPr="00D76A2F">
        <w:rPr>
          <w:rFonts w:ascii="Calibri" w:eastAsia="Arial Unicode MS" w:hAnsi="Calibri" w:cs="Arial Unicode MS"/>
        </w:rPr>
        <w:t xml:space="preserve"> πρόσβαση στο ιστορικό των υποβληθέντων </w:t>
      </w:r>
      <w:r w:rsidR="00114F75">
        <w:rPr>
          <w:rFonts w:ascii="Calibri" w:eastAsia="Arial Unicode MS" w:hAnsi="Calibri" w:cs="Arial Unicode MS"/>
        </w:rPr>
        <w:t>αρχείων</w:t>
      </w:r>
      <w:r w:rsidR="00081C00" w:rsidRPr="00D76A2F">
        <w:rPr>
          <w:rFonts w:ascii="Calibri" w:eastAsia="Arial Unicode MS" w:hAnsi="Calibri" w:cs="Arial Unicode MS"/>
        </w:rPr>
        <w:t xml:space="preserve">, χωρίς δυνατότητα μεταβολής τους. Με τον τρόπο αυτό, υπάρχει ένα ενιαίο σημείο αναφοράς για τους αναγγέλλοντες και το αρμόδιο Τμήμα της Διεύθυνσης Στατιστικής, βάσει του οποίου μπορούν να επικοινωνούν και να επιλύουν τυχόν προβλήματα στη διαδικασία της υποβολής </w:t>
      </w:r>
      <w:r w:rsidR="00081C00">
        <w:rPr>
          <w:rFonts w:ascii="Calibri" w:eastAsia="Arial Unicode MS" w:hAnsi="Calibri" w:cs="Arial Unicode MS"/>
        </w:rPr>
        <w:t>του ερωτηματολογίου</w:t>
      </w:r>
      <w:r w:rsidR="00081C00" w:rsidRPr="00D76A2F">
        <w:rPr>
          <w:rFonts w:ascii="Calibri" w:eastAsia="Arial Unicode MS" w:hAnsi="Calibri" w:cs="Arial Unicode MS"/>
        </w:rPr>
        <w:t xml:space="preserve"> ή ακόμα και στην ορθότητα των ίδιων των στοιχείων. </w:t>
      </w:r>
    </w:p>
    <w:p w14:paraId="5298BA0B" w14:textId="77777777" w:rsidR="00081C00" w:rsidRPr="00D76A2F" w:rsidRDefault="00081C00" w:rsidP="00081C00">
      <w:pPr>
        <w:spacing w:before="120" w:after="120" w:line="360" w:lineRule="exact"/>
        <w:jc w:val="both"/>
        <w:rPr>
          <w:rFonts w:ascii="Calibri" w:eastAsia="Arial Unicode MS" w:hAnsi="Calibri" w:cs="Arial Unicode MS"/>
        </w:rPr>
      </w:pPr>
    </w:p>
    <w:p w14:paraId="3378B275" w14:textId="77777777" w:rsidR="00081C00" w:rsidRPr="00D76A2F" w:rsidRDefault="00081C00" w:rsidP="00081C00">
      <w:pPr>
        <w:pStyle w:val="Heading2"/>
        <w:spacing w:before="120" w:after="120" w:line="360" w:lineRule="exact"/>
        <w:ind w:left="426"/>
        <w:jc w:val="both"/>
        <w:rPr>
          <w:rFonts w:ascii="Calibri" w:eastAsia="Arial Unicode MS" w:hAnsi="Calibri" w:cs="Arial Unicode MS"/>
        </w:rPr>
      </w:pPr>
      <w:r w:rsidRPr="00D76A2F">
        <w:rPr>
          <w:rFonts w:ascii="Calibri" w:eastAsia="Arial Unicode MS" w:hAnsi="Calibri" w:cs="Arial Unicode MS"/>
        </w:rPr>
        <w:t>Υπευθυνότητα</w:t>
      </w:r>
    </w:p>
    <w:p w14:paraId="3862F75D" w14:textId="6E17432A" w:rsidR="00081C00" w:rsidRPr="00D76A2F" w:rsidRDefault="00081C00" w:rsidP="00081C00">
      <w:pPr>
        <w:spacing w:before="120" w:after="120" w:line="360" w:lineRule="exact"/>
        <w:jc w:val="both"/>
        <w:rPr>
          <w:rFonts w:ascii="Calibri" w:eastAsia="Arial Unicode MS" w:hAnsi="Calibri" w:cs="Arial Unicode MS"/>
        </w:rPr>
      </w:pPr>
      <w:r w:rsidRPr="00D76A2F">
        <w:rPr>
          <w:rFonts w:ascii="Calibri" w:eastAsia="Arial Unicode MS" w:hAnsi="Calibri" w:cs="Arial Unicode MS"/>
        </w:rPr>
        <w:t xml:space="preserve">Η </w:t>
      </w:r>
      <w:r w:rsidR="003F593C">
        <w:rPr>
          <w:rFonts w:ascii="Calibri" w:eastAsia="Arial Unicode MS" w:hAnsi="Calibri" w:cs="Arial Unicode MS"/>
        </w:rPr>
        <w:t>υποβολή στοιχείων στις έρευνες</w:t>
      </w:r>
      <w:r w:rsidRPr="00D76A2F">
        <w:rPr>
          <w:rFonts w:ascii="Calibri" w:eastAsia="Arial Unicode MS" w:hAnsi="Calibri" w:cs="Arial Unicode MS"/>
        </w:rPr>
        <w:t xml:space="preserve"> είναι σύνθετη και τα ερωτηματολόγια θα πρέπει να συμπληρωθούν από τον οικονομικό διευθυντή ή τον προϊστάμενο λογιστηρίου ή εξειδικευμένο ως προς αυτό πρόσωπο.</w:t>
      </w:r>
    </w:p>
    <w:sectPr w:rsidR="00081C00" w:rsidRPr="00D76A2F" w:rsidSect="00081C00">
      <w:headerReference w:type="even" r:id="rId19"/>
      <w:pgSz w:w="11906" w:h="16838"/>
      <w:pgMar w:top="2410" w:right="1800" w:bottom="993" w:left="1800" w:header="708" w:footer="7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C9BE" w14:textId="77777777" w:rsidR="00896AB5" w:rsidRDefault="00896AB5" w:rsidP="004235C1">
      <w:pPr>
        <w:spacing w:after="0" w:line="240" w:lineRule="auto"/>
      </w:pPr>
      <w:r>
        <w:separator/>
      </w:r>
    </w:p>
  </w:endnote>
  <w:endnote w:type="continuationSeparator" w:id="0">
    <w:p w14:paraId="4F4B30D5" w14:textId="77777777" w:rsidR="00896AB5" w:rsidRDefault="00896AB5" w:rsidP="0042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902158"/>
      <w:docPartObj>
        <w:docPartGallery w:val="Page Numbers (Bottom of Page)"/>
        <w:docPartUnique/>
      </w:docPartObj>
    </w:sdtPr>
    <w:sdtEndPr>
      <w:rPr>
        <w:rFonts w:ascii="Verdana" w:hAnsi="Verdana"/>
        <w:b/>
        <w:noProof/>
        <w:sz w:val="24"/>
      </w:rPr>
    </w:sdtEndPr>
    <w:sdtContent>
      <w:p w14:paraId="2DD27C7F" w14:textId="6453A8DB" w:rsidR="00527D19" w:rsidRPr="0083306D" w:rsidRDefault="00527D19" w:rsidP="0083306D">
        <w:pPr>
          <w:pStyle w:val="Footer"/>
          <w:tabs>
            <w:tab w:val="clear" w:pos="4153"/>
            <w:tab w:val="left" w:pos="-284"/>
          </w:tabs>
          <w:ind w:left="-567"/>
          <w:rPr>
            <w:rFonts w:ascii="Verdana" w:hAnsi="Verdana"/>
            <w:b/>
            <w:sz w:val="24"/>
          </w:rPr>
        </w:pPr>
        <w:r w:rsidRPr="0083306D">
          <w:rPr>
            <w:rFonts w:ascii="Verdana" w:eastAsiaTheme="majorEastAsia" w:hAnsi="Verdana" w:cstheme="majorBidi"/>
            <w:color w:val="595959" w:themeColor="text1" w:themeTint="A6"/>
            <w:sz w:val="16"/>
          </w:rPr>
          <w:t>ΕΓΧΕΙΡΙΔΙΟ ΟΔΗΓΙΩΝ ΓΙΑ ΤΗΝ ΕΤΗΣΙΑ ΕΡΕΥΝΑ ΞΕΝΩΝ ΑΜΕΣΩΝ ΕΠΕΝΔΥΣΕΩΝ – ΤτΕ 2019</w:t>
        </w:r>
        <w:r w:rsidRPr="0083306D">
          <w:rPr>
            <w:rFonts w:ascii="Verdana" w:hAnsi="Verdana"/>
            <w:b/>
            <w:sz w:val="24"/>
          </w:rPr>
          <w:tab/>
        </w:r>
        <w:r w:rsidRPr="0083306D">
          <w:rPr>
            <w:rFonts w:ascii="Verdana" w:hAnsi="Verdana"/>
            <w:b/>
            <w:sz w:val="24"/>
          </w:rPr>
          <w:fldChar w:fldCharType="begin"/>
        </w:r>
        <w:r w:rsidRPr="0083306D">
          <w:rPr>
            <w:rFonts w:ascii="Verdana" w:hAnsi="Verdana"/>
            <w:b/>
            <w:sz w:val="24"/>
          </w:rPr>
          <w:instrText xml:space="preserve"> PAGE   \* MERGEFORMAT </w:instrText>
        </w:r>
        <w:r w:rsidRPr="0083306D">
          <w:rPr>
            <w:rFonts w:ascii="Verdana" w:hAnsi="Verdana"/>
            <w:b/>
            <w:sz w:val="24"/>
          </w:rPr>
          <w:fldChar w:fldCharType="separate"/>
        </w:r>
        <w:r w:rsidR="00C862F4">
          <w:rPr>
            <w:rFonts w:ascii="Verdana" w:hAnsi="Verdana"/>
            <w:b/>
            <w:noProof/>
            <w:sz w:val="24"/>
          </w:rPr>
          <w:t>2</w:t>
        </w:r>
        <w:r w:rsidRPr="0083306D">
          <w:rPr>
            <w:rFonts w:ascii="Verdana" w:hAnsi="Verdana"/>
            <w:b/>
            <w:noProof/>
            <w:sz w:val="24"/>
          </w:rPr>
          <w:fldChar w:fldCharType="end"/>
        </w:r>
      </w:p>
    </w:sdtContent>
  </w:sdt>
  <w:p w14:paraId="7EFED373" w14:textId="77777777" w:rsidR="00527D19" w:rsidRDefault="00527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8ADF" w14:textId="77777777" w:rsidR="00527D19" w:rsidRDefault="00527D19">
    <w:pPr>
      <w:pStyle w:val="Footer"/>
      <w:jc w:val="right"/>
    </w:pPr>
  </w:p>
  <w:p w14:paraId="489A49B4" w14:textId="77777777" w:rsidR="00527D19" w:rsidRDefault="00527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24059"/>
      <w:docPartObj>
        <w:docPartGallery w:val="Page Numbers (Bottom of Page)"/>
        <w:docPartUnique/>
      </w:docPartObj>
    </w:sdtPr>
    <w:sdtEndPr>
      <w:rPr>
        <w:noProof/>
      </w:rPr>
    </w:sdtEndPr>
    <w:sdtContent>
      <w:p w14:paraId="62A4E791" w14:textId="3B41F16B" w:rsidR="00D550AE" w:rsidRDefault="00D550AE">
        <w:pPr>
          <w:pStyle w:val="Footer"/>
          <w:jc w:val="center"/>
        </w:pPr>
        <w:r>
          <w:fldChar w:fldCharType="begin"/>
        </w:r>
        <w:r>
          <w:instrText xml:space="preserve"> PAGE   \* MERGEFORMAT </w:instrText>
        </w:r>
        <w:r>
          <w:fldChar w:fldCharType="separate"/>
        </w:r>
        <w:r w:rsidR="005C7277">
          <w:rPr>
            <w:noProof/>
          </w:rPr>
          <w:t>4</w:t>
        </w:r>
        <w:r>
          <w:rPr>
            <w:noProof/>
          </w:rPr>
          <w:fldChar w:fldCharType="end"/>
        </w:r>
      </w:p>
    </w:sdtContent>
  </w:sdt>
  <w:p w14:paraId="57323773" w14:textId="5800A153" w:rsidR="00527D19" w:rsidRDefault="00527D19" w:rsidP="00516397">
    <w:pPr>
      <w:pStyle w:val="Footer"/>
      <w:tabs>
        <w:tab w:val="clear" w:pos="4153"/>
        <w:tab w:val="clear" w:pos="8306"/>
        <w:tab w:val="left" w:pos="22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6530" w14:textId="77777777" w:rsidR="00896AB5" w:rsidRDefault="00896AB5" w:rsidP="004235C1">
      <w:pPr>
        <w:spacing w:after="0" w:line="240" w:lineRule="auto"/>
      </w:pPr>
      <w:r>
        <w:separator/>
      </w:r>
    </w:p>
  </w:footnote>
  <w:footnote w:type="continuationSeparator" w:id="0">
    <w:p w14:paraId="065CB2D1" w14:textId="77777777" w:rsidR="00896AB5" w:rsidRDefault="00896AB5" w:rsidP="0042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DF3E" w14:textId="77777777" w:rsidR="00527D19" w:rsidRDefault="00527D19" w:rsidP="00A51490">
    <w:pPr>
      <w:pStyle w:val="Header"/>
      <w:jc w:val="center"/>
    </w:pPr>
    <w:r>
      <w:rPr>
        <w:noProof/>
        <w:lang w:val="en-US"/>
      </w:rPr>
      <w:drawing>
        <wp:inline distT="0" distB="0" distL="0" distR="0" wp14:anchorId="311C9ED6" wp14:editId="3206515C">
          <wp:extent cx="2162175" cy="1209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5892" w14:textId="77777777" w:rsidR="00527D19" w:rsidRPr="000B0D88" w:rsidRDefault="00527D19" w:rsidP="000B0D88">
    <w:pPr>
      <w:tabs>
        <w:tab w:val="left" w:pos="4646"/>
      </w:tabs>
      <w:jc w:val="center"/>
      <w:rPr>
        <w:rFonts w:asciiTheme="majorHAnsi" w:eastAsiaTheme="majorEastAsia" w:hAnsiTheme="majorHAnsi" w:cstheme="majorBidi"/>
        <w:color w:val="595959" w:themeColor="text1" w:themeTint="A6"/>
      </w:rPr>
    </w:pPr>
    <w:r w:rsidRPr="00CE018F">
      <w:rPr>
        <w:rFonts w:asciiTheme="majorHAnsi" w:eastAsiaTheme="majorEastAsia" w:hAnsiTheme="majorHAnsi" w:cstheme="majorBidi"/>
        <w:color w:val="595959" w:themeColor="text1" w:themeTint="A6"/>
      </w:rPr>
      <w:t xml:space="preserve">Εγχειρίδιο Οδηγιών για την ετήσια έρευνα </w:t>
    </w:r>
    <w:r>
      <w:rPr>
        <w:rFonts w:asciiTheme="majorHAnsi" w:eastAsiaTheme="majorEastAsia" w:hAnsiTheme="majorHAnsi" w:cstheme="majorBidi"/>
        <w:color w:val="595959" w:themeColor="text1" w:themeTint="A6"/>
      </w:rPr>
      <w:t>ξένων άμεσων επενδύσεων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D5A7" w14:textId="691E9ABE" w:rsidR="00666BA6" w:rsidRDefault="00666BA6">
    <w:pPr>
      <w:pStyle w:val="Header"/>
      <w:jc w:val="center"/>
    </w:pPr>
  </w:p>
  <w:p w14:paraId="2B9CBA23" w14:textId="77777777" w:rsidR="00527D19" w:rsidRPr="005339A7" w:rsidRDefault="00527D19" w:rsidP="00533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535C" w14:textId="77777777" w:rsidR="00081C00" w:rsidRDefault="00081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588"/>
    <w:multiLevelType w:val="hybridMultilevel"/>
    <w:tmpl w:val="AC664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A7826"/>
    <w:multiLevelType w:val="hybridMultilevel"/>
    <w:tmpl w:val="14125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9535A2"/>
    <w:multiLevelType w:val="multilevel"/>
    <w:tmpl w:val="69BAA006"/>
    <w:lvl w:ilvl="0">
      <w:start w:val="1"/>
      <w:numFmt w:val="decimal"/>
      <w:pStyle w:val="Heading1"/>
      <w:lvlText w:val="%1."/>
      <w:lvlJc w:val="left"/>
      <w:pPr>
        <w:ind w:left="360" w:hanging="360"/>
      </w:pPr>
      <w:rPr>
        <w:rFonts w:ascii="Arial Unicode MS" w:eastAsia="Arial Unicode MS" w:hAnsi="Arial Unicode MS" w:cs="Arial Unicode MS" w:hint="default"/>
      </w:rPr>
    </w:lvl>
    <w:lvl w:ilvl="1">
      <w:start w:val="1"/>
      <w:numFmt w:val="decimal"/>
      <w:pStyle w:val="Heading2"/>
      <w:lvlText w:val="%1.%2."/>
      <w:lvlJc w:val="left"/>
      <w:pPr>
        <w:ind w:left="1425" w:hanging="432"/>
      </w:pPr>
      <w:rPr>
        <w:rFonts w:hint="default"/>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95C3202"/>
    <w:multiLevelType w:val="hybridMultilevel"/>
    <w:tmpl w:val="53B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92B36"/>
    <w:multiLevelType w:val="hybridMultilevel"/>
    <w:tmpl w:val="91505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activeWritingStyle w:appName="MSWord" w:lang="fr-FR" w:vendorID="64" w:dllVersion="131078" w:nlCheck="1" w:checkStyle="0"/>
  <w:activeWritingStyle w:appName="MSWord" w:lang="en-US" w:vendorID="64" w:dllVersion="131078" w:nlCheck="1" w:checkStyle="1"/>
  <w:revisionView w:markup="0" w:comments="0" w:insDel="0" w:formatting="0" w:inkAnnotation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46"/>
    <w:rsid w:val="0000011D"/>
    <w:rsid w:val="0000158F"/>
    <w:rsid w:val="0000167C"/>
    <w:rsid w:val="0000172E"/>
    <w:rsid w:val="000030E8"/>
    <w:rsid w:val="000034C7"/>
    <w:rsid w:val="00003694"/>
    <w:rsid w:val="00010E87"/>
    <w:rsid w:val="000112C6"/>
    <w:rsid w:val="000116A7"/>
    <w:rsid w:val="0001449E"/>
    <w:rsid w:val="00014A37"/>
    <w:rsid w:val="000175F0"/>
    <w:rsid w:val="00022A75"/>
    <w:rsid w:val="00023DFD"/>
    <w:rsid w:val="00024998"/>
    <w:rsid w:val="00025F98"/>
    <w:rsid w:val="00026F2D"/>
    <w:rsid w:val="00026F47"/>
    <w:rsid w:val="000318EB"/>
    <w:rsid w:val="00031BFD"/>
    <w:rsid w:val="00032BDD"/>
    <w:rsid w:val="00032CC0"/>
    <w:rsid w:val="0004110B"/>
    <w:rsid w:val="00041533"/>
    <w:rsid w:val="00041CB1"/>
    <w:rsid w:val="00043EF1"/>
    <w:rsid w:val="00045300"/>
    <w:rsid w:val="00045670"/>
    <w:rsid w:val="000502CC"/>
    <w:rsid w:val="00051032"/>
    <w:rsid w:val="0005580C"/>
    <w:rsid w:val="0006299A"/>
    <w:rsid w:val="00062C24"/>
    <w:rsid w:val="00066A67"/>
    <w:rsid w:val="00067783"/>
    <w:rsid w:val="000713FA"/>
    <w:rsid w:val="0007203A"/>
    <w:rsid w:val="000747C8"/>
    <w:rsid w:val="00074895"/>
    <w:rsid w:val="00077F53"/>
    <w:rsid w:val="000801DB"/>
    <w:rsid w:val="00081C00"/>
    <w:rsid w:val="00082438"/>
    <w:rsid w:val="00083C6E"/>
    <w:rsid w:val="00085900"/>
    <w:rsid w:val="000871E3"/>
    <w:rsid w:val="000877BC"/>
    <w:rsid w:val="00090C3E"/>
    <w:rsid w:val="00093FC4"/>
    <w:rsid w:val="000942B9"/>
    <w:rsid w:val="00096049"/>
    <w:rsid w:val="0009666C"/>
    <w:rsid w:val="000A2577"/>
    <w:rsid w:val="000A2A85"/>
    <w:rsid w:val="000A3AB4"/>
    <w:rsid w:val="000A7885"/>
    <w:rsid w:val="000B0D88"/>
    <w:rsid w:val="000C11E9"/>
    <w:rsid w:val="000C5F40"/>
    <w:rsid w:val="000C6289"/>
    <w:rsid w:val="000C6AA4"/>
    <w:rsid w:val="000C7BCA"/>
    <w:rsid w:val="000C7BDC"/>
    <w:rsid w:val="000D2163"/>
    <w:rsid w:val="000D3D09"/>
    <w:rsid w:val="000D43F2"/>
    <w:rsid w:val="000D6444"/>
    <w:rsid w:val="000E027B"/>
    <w:rsid w:val="000E3777"/>
    <w:rsid w:val="000E4FD8"/>
    <w:rsid w:val="000E7A48"/>
    <w:rsid w:val="000F296A"/>
    <w:rsid w:val="000F2CB0"/>
    <w:rsid w:val="000F4762"/>
    <w:rsid w:val="000F6559"/>
    <w:rsid w:val="000F7DBE"/>
    <w:rsid w:val="00101C79"/>
    <w:rsid w:val="0010362B"/>
    <w:rsid w:val="001037BE"/>
    <w:rsid w:val="00103BF4"/>
    <w:rsid w:val="00106A5D"/>
    <w:rsid w:val="001073A1"/>
    <w:rsid w:val="00110BD6"/>
    <w:rsid w:val="001121B8"/>
    <w:rsid w:val="001130D7"/>
    <w:rsid w:val="00114081"/>
    <w:rsid w:val="00114125"/>
    <w:rsid w:val="00114F75"/>
    <w:rsid w:val="00116CF5"/>
    <w:rsid w:val="001208C8"/>
    <w:rsid w:val="00121282"/>
    <w:rsid w:val="00124B1B"/>
    <w:rsid w:val="001256F7"/>
    <w:rsid w:val="00126149"/>
    <w:rsid w:val="00132122"/>
    <w:rsid w:val="001326E2"/>
    <w:rsid w:val="00135DC7"/>
    <w:rsid w:val="00135E28"/>
    <w:rsid w:val="0014065D"/>
    <w:rsid w:val="00141AF3"/>
    <w:rsid w:val="00143395"/>
    <w:rsid w:val="00146249"/>
    <w:rsid w:val="00147F5C"/>
    <w:rsid w:val="0015122C"/>
    <w:rsid w:val="00151AED"/>
    <w:rsid w:val="0015410F"/>
    <w:rsid w:val="001547F0"/>
    <w:rsid w:val="00156095"/>
    <w:rsid w:val="0015677E"/>
    <w:rsid w:val="001605E7"/>
    <w:rsid w:val="00162E28"/>
    <w:rsid w:val="00162F34"/>
    <w:rsid w:val="00163B6B"/>
    <w:rsid w:val="00164084"/>
    <w:rsid w:val="0016689A"/>
    <w:rsid w:val="001706CA"/>
    <w:rsid w:val="00170B0B"/>
    <w:rsid w:val="001717ED"/>
    <w:rsid w:val="00172C3F"/>
    <w:rsid w:val="00172E66"/>
    <w:rsid w:val="00174B4A"/>
    <w:rsid w:val="0018131C"/>
    <w:rsid w:val="001824B5"/>
    <w:rsid w:val="00182931"/>
    <w:rsid w:val="001834DC"/>
    <w:rsid w:val="00185854"/>
    <w:rsid w:val="00187E00"/>
    <w:rsid w:val="00190D3F"/>
    <w:rsid w:val="00190F08"/>
    <w:rsid w:val="00190FCA"/>
    <w:rsid w:val="001914A1"/>
    <w:rsid w:val="001921A1"/>
    <w:rsid w:val="001967C4"/>
    <w:rsid w:val="001A0383"/>
    <w:rsid w:val="001A0C5C"/>
    <w:rsid w:val="001A12EC"/>
    <w:rsid w:val="001A177A"/>
    <w:rsid w:val="001A2421"/>
    <w:rsid w:val="001A4D9F"/>
    <w:rsid w:val="001A5EB6"/>
    <w:rsid w:val="001A6032"/>
    <w:rsid w:val="001A7941"/>
    <w:rsid w:val="001B1F6A"/>
    <w:rsid w:val="001B4A8D"/>
    <w:rsid w:val="001B5124"/>
    <w:rsid w:val="001B5616"/>
    <w:rsid w:val="001B66AA"/>
    <w:rsid w:val="001C073B"/>
    <w:rsid w:val="001C43F9"/>
    <w:rsid w:val="001C5B91"/>
    <w:rsid w:val="001C5B92"/>
    <w:rsid w:val="001C5E6D"/>
    <w:rsid w:val="001C5F57"/>
    <w:rsid w:val="001C6CB0"/>
    <w:rsid w:val="001C766D"/>
    <w:rsid w:val="001D0AD4"/>
    <w:rsid w:val="001D4D90"/>
    <w:rsid w:val="001D5350"/>
    <w:rsid w:val="001D644C"/>
    <w:rsid w:val="001D65E9"/>
    <w:rsid w:val="001D750E"/>
    <w:rsid w:val="001E12C2"/>
    <w:rsid w:val="001E293E"/>
    <w:rsid w:val="001E4C2E"/>
    <w:rsid w:val="001E55EE"/>
    <w:rsid w:val="001E59A9"/>
    <w:rsid w:val="001E66D6"/>
    <w:rsid w:val="001F21C6"/>
    <w:rsid w:val="001F4C4D"/>
    <w:rsid w:val="001F6971"/>
    <w:rsid w:val="00200989"/>
    <w:rsid w:val="0020368C"/>
    <w:rsid w:val="00204064"/>
    <w:rsid w:val="00204A08"/>
    <w:rsid w:val="00205181"/>
    <w:rsid w:val="00205B61"/>
    <w:rsid w:val="00207F48"/>
    <w:rsid w:val="002104D9"/>
    <w:rsid w:val="00210E10"/>
    <w:rsid w:val="00211736"/>
    <w:rsid w:val="00211A3A"/>
    <w:rsid w:val="00214C54"/>
    <w:rsid w:val="00215441"/>
    <w:rsid w:val="00216542"/>
    <w:rsid w:val="002168D3"/>
    <w:rsid w:val="00217666"/>
    <w:rsid w:val="0022187B"/>
    <w:rsid w:val="00223BC0"/>
    <w:rsid w:val="00224455"/>
    <w:rsid w:val="002261EB"/>
    <w:rsid w:val="00227CCA"/>
    <w:rsid w:val="002300BA"/>
    <w:rsid w:val="00230202"/>
    <w:rsid w:val="00230BFC"/>
    <w:rsid w:val="00230DF6"/>
    <w:rsid w:val="00232B53"/>
    <w:rsid w:val="002357DE"/>
    <w:rsid w:val="00235FD2"/>
    <w:rsid w:val="00236A8E"/>
    <w:rsid w:val="0023767F"/>
    <w:rsid w:val="00237A89"/>
    <w:rsid w:val="002419CF"/>
    <w:rsid w:val="00243C35"/>
    <w:rsid w:val="002445C9"/>
    <w:rsid w:val="00244842"/>
    <w:rsid w:val="00250C63"/>
    <w:rsid w:val="00251530"/>
    <w:rsid w:val="00254369"/>
    <w:rsid w:val="00254458"/>
    <w:rsid w:val="00254945"/>
    <w:rsid w:val="00257076"/>
    <w:rsid w:val="00257830"/>
    <w:rsid w:val="00263F08"/>
    <w:rsid w:val="00266470"/>
    <w:rsid w:val="002671B7"/>
    <w:rsid w:val="00267DA8"/>
    <w:rsid w:val="0027264D"/>
    <w:rsid w:val="002735F5"/>
    <w:rsid w:val="00275EF4"/>
    <w:rsid w:val="00280E8F"/>
    <w:rsid w:val="0028230A"/>
    <w:rsid w:val="002824BF"/>
    <w:rsid w:val="00283C3E"/>
    <w:rsid w:val="00285046"/>
    <w:rsid w:val="00285D07"/>
    <w:rsid w:val="00287416"/>
    <w:rsid w:val="00290B15"/>
    <w:rsid w:val="00290F1F"/>
    <w:rsid w:val="00294538"/>
    <w:rsid w:val="00294A6D"/>
    <w:rsid w:val="0029676E"/>
    <w:rsid w:val="002A2691"/>
    <w:rsid w:val="002A47AA"/>
    <w:rsid w:val="002B20AD"/>
    <w:rsid w:val="002B23CD"/>
    <w:rsid w:val="002B3491"/>
    <w:rsid w:val="002B3511"/>
    <w:rsid w:val="002B4330"/>
    <w:rsid w:val="002B5D02"/>
    <w:rsid w:val="002B6066"/>
    <w:rsid w:val="002B6944"/>
    <w:rsid w:val="002B7E94"/>
    <w:rsid w:val="002C1683"/>
    <w:rsid w:val="002C1C8D"/>
    <w:rsid w:val="002C224A"/>
    <w:rsid w:val="002C3408"/>
    <w:rsid w:val="002C37D8"/>
    <w:rsid w:val="002C3E84"/>
    <w:rsid w:val="002C4459"/>
    <w:rsid w:val="002C4A9B"/>
    <w:rsid w:val="002C6095"/>
    <w:rsid w:val="002C6950"/>
    <w:rsid w:val="002C7B51"/>
    <w:rsid w:val="002D0EC0"/>
    <w:rsid w:val="002D2BA5"/>
    <w:rsid w:val="002D30DD"/>
    <w:rsid w:val="002D5007"/>
    <w:rsid w:val="002E0718"/>
    <w:rsid w:val="002E2EF1"/>
    <w:rsid w:val="002E3478"/>
    <w:rsid w:val="002E4E46"/>
    <w:rsid w:val="002E7609"/>
    <w:rsid w:val="002F30EA"/>
    <w:rsid w:val="002F31C8"/>
    <w:rsid w:val="002F6B86"/>
    <w:rsid w:val="0030119F"/>
    <w:rsid w:val="00303C72"/>
    <w:rsid w:val="003041BB"/>
    <w:rsid w:val="00306ADE"/>
    <w:rsid w:val="003111CD"/>
    <w:rsid w:val="003131AB"/>
    <w:rsid w:val="00313AE1"/>
    <w:rsid w:val="00313DCE"/>
    <w:rsid w:val="003141DA"/>
    <w:rsid w:val="00315B2C"/>
    <w:rsid w:val="00316400"/>
    <w:rsid w:val="0032028B"/>
    <w:rsid w:val="0032387B"/>
    <w:rsid w:val="00326F46"/>
    <w:rsid w:val="00327B4B"/>
    <w:rsid w:val="003321CB"/>
    <w:rsid w:val="00332C03"/>
    <w:rsid w:val="00333403"/>
    <w:rsid w:val="00341CAF"/>
    <w:rsid w:val="00343AAC"/>
    <w:rsid w:val="0034594A"/>
    <w:rsid w:val="003465C7"/>
    <w:rsid w:val="00351C9E"/>
    <w:rsid w:val="00351D58"/>
    <w:rsid w:val="00351F60"/>
    <w:rsid w:val="0035239B"/>
    <w:rsid w:val="00356D2E"/>
    <w:rsid w:val="00360336"/>
    <w:rsid w:val="003620E5"/>
    <w:rsid w:val="00363B74"/>
    <w:rsid w:val="00367FDA"/>
    <w:rsid w:val="00372E96"/>
    <w:rsid w:val="00374209"/>
    <w:rsid w:val="00376B46"/>
    <w:rsid w:val="0037764F"/>
    <w:rsid w:val="003813B7"/>
    <w:rsid w:val="00385378"/>
    <w:rsid w:val="003867A7"/>
    <w:rsid w:val="00390BAB"/>
    <w:rsid w:val="003926D1"/>
    <w:rsid w:val="00395400"/>
    <w:rsid w:val="00396EFA"/>
    <w:rsid w:val="00397BC3"/>
    <w:rsid w:val="003A0DED"/>
    <w:rsid w:val="003A3AC7"/>
    <w:rsid w:val="003A488E"/>
    <w:rsid w:val="003A4BEC"/>
    <w:rsid w:val="003A500E"/>
    <w:rsid w:val="003B1BD7"/>
    <w:rsid w:val="003B2B97"/>
    <w:rsid w:val="003B2D82"/>
    <w:rsid w:val="003B373F"/>
    <w:rsid w:val="003B6A13"/>
    <w:rsid w:val="003C1AB3"/>
    <w:rsid w:val="003C22BA"/>
    <w:rsid w:val="003C69E3"/>
    <w:rsid w:val="003C6DF8"/>
    <w:rsid w:val="003E1FDF"/>
    <w:rsid w:val="003E21CC"/>
    <w:rsid w:val="003E337F"/>
    <w:rsid w:val="003E5914"/>
    <w:rsid w:val="003E65FD"/>
    <w:rsid w:val="003E67E8"/>
    <w:rsid w:val="003E6ACE"/>
    <w:rsid w:val="003E72AD"/>
    <w:rsid w:val="003F0362"/>
    <w:rsid w:val="003F16B7"/>
    <w:rsid w:val="003F29A6"/>
    <w:rsid w:val="003F47D6"/>
    <w:rsid w:val="003F593C"/>
    <w:rsid w:val="003F60E6"/>
    <w:rsid w:val="003F6E52"/>
    <w:rsid w:val="003F7D50"/>
    <w:rsid w:val="00401460"/>
    <w:rsid w:val="00401D18"/>
    <w:rsid w:val="004021AC"/>
    <w:rsid w:val="0040371E"/>
    <w:rsid w:val="00403909"/>
    <w:rsid w:val="00403BD4"/>
    <w:rsid w:val="00406B56"/>
    <w:rsid w:val="00406BE5"/>
    <w:rsid w:val="00410A6F"/>
    <w:rsid w:val="0041159E"/>
    <w:rsid w:val="004206C1"/>
    <w:rsid w:val="00420AA2"/>
    <w:rsid w:val="004235C1"/>
    <w:rsid w:val="00425ADC"/>
    <w:rsid w:val="004304A2"/>
    <w:rsid w:val="00430A5A"/>
    <w:rsid w:val="00430CC6"/>
    <w:rsid w:val="00431134"/>
    <w:rsid w:val="004341A0"/>
    <w:rsid w:val="004411A7"/>
    <w:rsid w:val="0044723A"/>
    <w:rsid w:val="004534CA"/>
    <w:rsid w:val="0045464C"/>
    <w:rsid w:val="0045583E"/>
    <w:rsid w:val="00455B22"/>
    <w:rsid w:val="00456828"/>
    <w:rsid w:val="004574E6"/>
    <w:rsid w:val="004605E5"/>
    <w:rsid w:val="00461659"/>
    <w:rsid w:val="004627D8"/>
    <w:rsid w:val="004702A2"/>
    <w:rsid w:val="00472B30"/>
    <w:rsid w:val="00482A7D"/>
    <w:rsid w:val="00483CEF"/>
    <w:rsid w:val="00485001"/>
    <w:rsid w:val="00486BCD"/>
    <w:rsid w:val="00487657"/>
    <w:rsid w:val="00490196"/>
    <w:rsid w:val="00490BCE"/>
    <w:rsid w:val="00493595"/>
    <w:rsid w:val="0049368E"/>
    <w:rsid w:val="00493F5D"/>
    <w:rsid w:val="00494F25"/>
    <w:rsid w:val="004951CA"/>
    <w:rsid w:val="0049676A"/>
    <w:rsid w:val="00497EF4"/>
    <w:rsid w:val="004A0513"/>
    <w:rsid w:val="004A2B87"/>
    <w:rsid w:val="004A3215"/>
    <w:rsid w:val="004A380E"/>
    <w:rsid w:val="004A6DDB"/>
    <w:rsid w:val="004B1A6B"/>
    <w:rsid w:val="004B2150"/>
    <w:rsid w:val="004B3D84"/>
    <w:rsid w:val="004B4024"/>
    <w:rsid w:val="004B5E4E"/>
    <w:rsid w:val="004C4E7A"/>
    <w:rsid w:val="004C75EC"/>
    <w:rsid w:val="004C7983"/>
    <w:rsid w:val="004D3C3F"/>
    <w:rsid w:val="004D422A"/>
    <w:rsid w:val="004D4265"/>
    <w:rsid w:val="004E5BA1"/>
    <w:rsid w:val="004E66A3"/>
    <w:rsid w:val="004F17B6"/>
    <w:rsid w:val="004F23D0"/>
    <w:rsid w:val="004F4BD3"/>
    <w:rsid w:val="004F53E4"/>
    <w:rsid w:val="004F553E"/>
    <w:rsid w:val="004F565D"/>
    <w:rsid w:val="00502177"/>
    <w:rsid w:val="0050362E"/>
    <w:rsid w:val="0050466C"/>
    <w:rsid w:val="005049AB"/>
    <w:rsid w:val="00504B58"/>
    <w:rsid w:val="005063BA"/>
    <w:rsid w:val="005072C4"/>
    <w:rsid w:val="0051192E"/>
    <w:rsid w:val="00516397"/>
    <w:rsid w:val="00516AEA"/>
    <w:rsid w:val="00521300"/>
    <w:rsid w:val="00522D65"/>
    <w:rsid w:val="005239D7"/>
    <w:rsid w:val="0052645D"/>
    <w:rsid w:val="0052666F"/>
    <w:rsid w:val="00526799"/>
    <w:rsid w:val="005270E8"/>
    <w:rsid w:val="00527D19"/>
    <w:rsid w:val="00527F20"/>
    <w:rsid w:val="00532B15"/>
    <w:rsid w:val="0053357C"/>
    <w:rsid w:val="005339A7"/>
    <w:rsid w:val="00533BCB"/>
    <w:rsid w:val="00533DCF"/>
    <w:rsid w:val="005377D4"/>
    <w:rsid w:val="0054041D"/>
    <w:rsid w:val="00540C77"/>
    <w:rsid w:val="00543EE5"/>
    <w:rsid w:val="0055159F"/>
    <w:rsid w:val="00553086"/>
    <w:rsid w:val="00553B5E"/>
    <w:rsid w:val="00555E77"/>
    <w:rsid w:val="00557F3E"/>
    <w:rsid w:val="00560FCC"/>
    <w:rsid w:val="00561A7A"/>
    <w:rsid w:val="00561FD2"/>
    <w:rsid w:val="005629CD"/>
    <w:rsid w:val="00562C06"/>
    <w:rsid w:val="00564119"/>
    <w:rsid w:val="005642B3"/>
    <w:rsid w:val="00564EC2"/>
    <w:rsid w:val="0057002C"/>
    <w:rsid w:val="00573FF6"/>
    <w:rsid w:val="00574529"/>
    <w:rsid w:val="00574C8E"/>
    <w:rsid w:val="00577A56"/>
    <w:rsid w:val="0058037F"/>
    <w:rsid w:val="005811BF"/>
    <w:rsid w:val="00583AD3"/>
    <w:rsid w:val="00583C61"/>
    <w:rsid w:val="0058436A"/>
    <w:rsid w:val="00590495"/>
    <w:rsid w:val="0059081C"/>
    <w:rsid w:val="005921D1"/>
    <w:rsid w:val="0059227D"/>
    <w:rsid w:val="005934C0"/>
    <w:rsid w:val="0059589D"/>
    <w:rsid w:val="00595FF7"/>
    <w:rsid w:val="005A0456"/>
    <w:rsid w:val="005A059F"/>
    <w:rsid w:val="005A0C59"/>
    <w:rsid w:val="005A2D2F"/>
    <w:rsid w:val="005A4350"/>
    <w:rsid w:val="005B1535"/>
    <w:rsid w:val="005B5A84"/>
    <w:rsid w:val="005B64B7"/>
    <w:rsid w:val="005B66FC"/>
    <w:rsid w:val="005B6A72"/>
    <w:rsid w:val="005C039A"/>
    <w:rsid w:val="005C055D"/>
    <w:rsid w:val="005C0E46"/>
    <w:rsid w:val="005C1372"/>
    <w:rsid w:val="005C56FA"/>
    <w:rsid w:val="005C6181"/>
    <w:rsid w:val="005C643F"/>
    <w:rsid w:val="005C7277"/>
    <w:rsid w:val="005D2213"/>
    <w:rsid w:val="005D4CAA"/>
    <w:rsid w:val="005D4D36"/>
    <w:rsid w:val="005D6C16"/>
    <w:rsid w:val="005E0F97"/>
    <w:rsid w:val="005E15C6"/>
    <w:rsid w:val="005E2660"/>
    <w:rsid w:val="005E5DC1"/>
    <w:rsid w:val="005F10F6"/>
    <w:rsid w:val="005F1352"/>
    <w:rsid w:val="005F2595"/>
    <w:rsid w:val="005F3778"/>
    <w:rsid w:val="005F4541"/>
    <w:rsid w:val="005F576E"/>
    <w:rsid w:val="005F6102"/>
    <w:rsid w:val="0060300D"/>
    <w:rsid w:val="00603093"/>
    <w:rsid w:val="00603363"/>
    <w:rsid w:val="006063D5"/>
    <w:rsid w:val="006106A7"/>
    <w:rsid w:val="00612193"/>
    <w:rsid w:val="0061265B"/>
    <w:rsid w:val="00612BF8"/>
    <w:rsid w:val="006139B9"/>
    <w:rsid w:val="00616E65"/>
    <w:rsid w:val="006270C3"/>
    <w:rsid w:val="00627DF4"/>
    <w:rsid w:val="00632762"/>
    <w:rsid w:val="0063315C"/>
    <w:rsid w:val="00634AC8"/>
    <w:rsid w:val="00636211"/>
    <w:rsid w:val="006429E2"/>
    <w:rsid w:val="006448A1"/>
    <w:rsid w:val="0064491F"/>
    <w:rsid w:val="00646086"/>
    <w:rsid w:val="00647515"/>
    <w:rsid w:val="00652759"/>
    <w:rsid w:val="00653034"/>
    <w:rsid w:val="006535A9"/>
    <w:rsid w:val="00653AA8"/>
    <w:rsid w:val="00654339"/>
    <w:rsid w:val="006555AC"/>
    <w:rsid w:val="00655DA2"/>
    <w:rsid w:val="00657E5E"/>
    <w:rsid w:val="00661293"/>
    <w:rsid w:val="00663EF5"/>
    <w:rsid w:val="0066681D"/>
    <w:rsid w:val="00666BA6"/>
    <w:rsid w:val="00667602"/>
    <w:rsid w:val="006679CF"/>
    <w:rsid w:val="0067027B"/>
    <w:rsid w:val="00671D5B"/>
    <w:rsid w:val="006774F7"/>
    <w:rsid w:val="00680809"/>
    <w:rsid w:val="00680B4B"/>
    <w:rsid w:val="00680E1B"/>
    <w:rsid w:val="006819D2"/>
    <w:rsid w:val="00685FB0"/>
    <w:rsid w:val="0068770C"/>
    <w:rsid w:val="00691B31"/>
    <w:rsid w:val="00695DE8"/>
    <w:rsid w:val="0069758D"/>
    <w:rsid w:val="006A0CF4"/>
    <w:rsid w:val="006A130D"/>
    <w:rsid w:val="006A3404"/>
    <w:rsid w:val="006A4B9A"/>
    <w:rsid w:val="006B0D34"/>
    <w:rsid w:val="006B3861"/>
    <w:rsid w:val="006B4213"/>
    <w:rsid w:val="006B6976"/>
    <w:rsid w:val="006B7A04"/>
    <w:rsid w:val="006C0D1F"/>
    <w:rsid w:val="006C0DC0"/>
    <w:rsid w:val="006C5990"/>
    <w:rsid w:val="006C7705"/>
    <w:rsid w:val="006D2329"/>
    <w:rsid w:val="006D2C34"/>
    <w:rsid w:val="006D6039"/>
    <w:rsid w:val="006D79ED"/>
    <w:rsid w:val="006E29A0"/>
    <w:rsid w:val="006E401D"/>
    <w:rsid w:val="006E45EE"/>
    <w:rsid w:val="006E4825"/>
    <w:rsid w:val="006E4B55"/>
    <w:rsid w:val="006E5D16"/>
    <w:rsid w:val="006E64A4"/>
    <w:rsid w:val="006E70E1"/>
    <w:rsid w:val="006E7834"/>
    <w:rsid w:val="006F0594"/>
    <w:rsid w:val="006F163D"/>
    <w:rsid w:val="006F6DF2"/>
    <w:rsid w:val="006F70E9"/>
    <w:rsid w:val="007037D1"/>
    <w:rsid w:val="00704268"/>
    <w:rsid w:val="007043DC"/>
    <w:rsid w:val="00705647"/>
    <w:rsid w:val="007061FA"/>
    <w:rsid w:val="00706C3A"/>
    <w:rsid w:val="00706E21"/>
    <w:rsid w:val="007078BD"/>
    <w:rsid w:val="00711378"/>
    <w:rsid w:val="00713FD8"/>
    <w:rsid w:val="007155C8"/>
    <w:rsid w:val="00716E5A"/>
    <w:rsid w:val="00721022"/>
    <w:rsid w:val="00721832"/>
    <w:rsid w:val="00722D1B"/>
    <w:rsid w:val="00724442"/>
    <w:rsid w:val="00730C73"/>
    <w:rsid w:val="007350BB"/>
    <w:rsid w:val="007350D8"/>
    <w:rsid w:val="00737752"/>
    <w:rsid w:val="00737C3A"/>
    <w:rsid w:val="0074167D"/>
    <w:rsid w:val="00741EE8"/>
    <w:rsid w:val="00742709"/>
    <w:rsid w:val="00742E0A"/>
    <w:rsid w:val="00747A2E"/>
    <w:rsid w:val="00750982"/>
    <w:rsid w:val="00750BBD"/>
    <w:rsid w:val="00751C6F"/>
    <w:rsid w:val="0075496C"/>
    <w:rsid w:val="00756479"/>
    <w:rsid w:val="00756BDF"/>
    <w:rsid w:val="00757651"/>
    <w:rsid w:val="00757B5E"/>
    <w:rsid w:val="00766614"/>
    <w:rsid w:val="0076742C"/>
    <w:rsid w:val="00770295"/>
    <w:rsid w:val="0077179A"/>
    <w:rsid w:val="0077416E"/>
    <w:rsid w:val="00775CEE"/>
    <w:rsid w:val="0077669D"/>
    <w:rsid w:val="00776F9B"/>
    <w:rsid w:val="0078253A"/>
    <w:rsid w:val="007831AF"/>
    <w:rsid w:val="007862F4"/>
    <w:rsid w:val="00791DF3"/>
    <w:rsid w:val="00793EBB"/>
    <w:rsid w:val="007950F4"/>
    <w:rsid w:val="00795DA5"/>
    <w:rsid w:val="0079623F"/>
    <w:rsid w:val="007962CD"/>
    <w:rsid w:val="007974C4"/>
    <w:rsid w:val="007A387B"/>
    <w:rsid w:val="007A4F93"/>
    <w:rsid w:val="007A5654"/>
    <w:rsid w:val="007A77C6"/>
    <w:rsid w:val="007B35F3"/>
    <w:rsid w:val="007B7C42"/>
    <w:rsid w:val="007C0C49"/>
    <w:rsid w:val="007C77C3"/>
    <w:rsid w:val="007C7862"/>
    <w:rsid w:val="007C7FD0"/>
    <w:rsid w:val="007D249C"/>
    <w:rsid w:val="007D3C6C"/>
    <w:rsid w:val="007D6B04"/>
    <w:rsid w:val="007E01A7"/>
    <w:rsid w:val="007E084F"/>
    <w:rsid w:val="007E3E34"/>
    <w:rsid w:val="007E3FCE"/>
    <w:rsid w:val="007F01C7"/>
    <w:rsid w:val="007F2EC1"/>
    <w:rsid w:val="007F4A40"/>
    <w:rsid w:val="007F7DDE"/>
    <w:rsid w:val="007F7E67"/>
    <w:rsid w:val="00812A45"/>
    <w:rsid w:val="00813FE0"/>
    <w:rsid w:val="00816E95"/>
    <w:rsid w:val="0081726D"/>
    <w:rsid w:val="00817522"/>
    <w:rsid w:val="00817766"/>
    <w:rsid w:val="00817EF4"/>
    <w:rsid w:val="00820847"/>
    <w:rsid w:val="00820868"/>
    <w:rsid w:val="00822D69"/>
    <w:rsid w:val="00824877"/>
    <w:rsid w:val="00827550"/>
    <w:rsid w:val="008279D3"/>
    <w:rsid w:val="00830BD4"/>
    <w:rsid w:val="008314AD"/>
    <w:rsid w:val="00831964"/>
    <w:rsid w:val="0083306D"/>
    <w:rsid w:val="0083310B"/>
    <w:rsid w:val="0084147E"/>
    <w:rsid w:val="00841D89"/>
    <w:rsid w:val="008431EE"/>
    <w:rsid w:val="0084410F"/>
    <w:rsid w:val="0084511A"/>
    <w:rsid w:val="008456C3"/>
    <w:rsid w:val="00846B49"/>
    <w:rsid w:val="00846CB2"/>
    <w:rsid w:val="008510E6"/>
    <w:rsid w:val="00856851"/>
    <w:rsid w:val="00856B6D"/>
    <w:rsid w:val="008618BC"/>
    <w:rsid w:val="0086197F"/>
    <w:rsid w:val="0086217C"/>
    <w:rsid w:val="008657B1"/>
    <w:rsid w:val="008665F5"/>
    <w:rsid w:val="00873488"/>
    <w:rsid w:val="00874CF8"/>
    <w:rsid w:val="00875863"/>
    <w:rsid w:val="0088053B"/>
    <w:rsid w:val="008811A5"/>
    <w:rsid w:val="00884CF8"/>
    <w:rsid w:val="00885E46"/>
    <w:rsid w:val="00886326"/>
    <w:rsid w:val="00886C79"/>
    <w:rsid w:val="008872A2"/>
    <w:rsid w:val="00887ADF"/>
    <w:rsid w:val="0089042E"/>
    <w:rsid w:val="00890D72"/>
    <w:rsid w:val="008917E1"/>
    <w:rsid w:val="00891ECE"/>
    <w:rsid w:val="00892169"/>
    <w:rsid w:val="0089295B"/>
    <w:rsid w:val="00894B80"/>
    <w:rsid w:val="00895040"/>
    <w:rsid w:val="00896AB5"/>
    <w:rsid w:val="008A14F2"/>
    <w:rsid w:val="008A281C"/>
    <w:rsid w:val="008A3AA4"/>
    <w:rsid w:val="008A3F27"/>
    <w:rsid w:val="008A4969"/>
    <w:rsid w:val="008B1D24"/>
    <w:rsid w:val="008B367A"/>
    <w:rsid w:val="008B5031"/>
    <w:rsid w:val="008B5784"/>
    <w:rsid w:val="008B6B60"/>
    <w:rsid w:val="008B7A5E"/>
    <w:rsid w:val="008C1241"/>
    <w:rsid w:val="008C46BC"/>
    <w:rsid w:val="008C78A6"/>
    <w:rsid w:val="008D0CB6"/>
    <w:rsid w:val="008D23DC"/>
    <w:rsid w:val="008D23EF"/>
    <w:rsid w:val="008D4CB9"/>
    <w:rsid w:val="008D55A3"/>
    <w:rsid w:val="008D5CB4"/>
    <w:rsid w:val="008D6ECD"/>
    <w:rsid w:val="008E0358"/>
    <w:rsid w:val="008E2639"/>
    <w:rsid w:val="008E3580"/>
    <w:rsid w:val="008E5302"/>
    <w:rsid w:val="008E5836"/>
    <w:rsid w:val="008E5963"/>
    <w:rsid w:val="008E708F"/>
    <w:rsid w:val="008F1237"/>
    <w:rsid w:val="008F225B"/>
    <w:rsid w:val="008F3105"/>
    <w:rsid w:val="008F3AB9"/>
    <w:rsid w:val="00902E9E"/>
    <w:rsid w:val="00903292"/>
    <w:rsid w:val="00905CE7"/>
    <w:rsid w:val="00905EB6"/>
    <w:rsid w:val="00911205"/>
    <w:rsid w:val="00915AE7"/>
    <w:rsid w:val="00916325"/>
    <w:rsid w:val="00920F41"/>
    <w:rsid w:val="00922B91"/>
    <w:rsid w:val="00924381"/>
    <w:rsid w:val="0092470A"/>
    <w:rsid w:val="009303DD"/>
    <w:rsid w:val="00931075"/>
    <w:rsid w:val="00931ADA"/>
    <w:rsid w:val="009464F0"/>
    <w:rsid w:val="00946555"/>
    <w:rsid w:val="0095259A"/>
    <w:rsid w:val="0095345C"/>
    <w:rsid w:val="0095380E"/>
    <w:rsid w:val="009561E0"/>
    <w:rsid w:val="009624C2"/>
    <w:rsid w:val="0096327C"/>
    <w:rsid w:val="00963794"/>
    <w:rsid w:val="009709AF"/>
    <w:rsid w:val="009715E5"/>
    <w:rsid w:val="00972B75"/>
    <w:rsid w:val="00973094"/>
    <w:rsid w:val="00974FD6"/>
    <w:rsid w:val="00976279"/>
    <w:rsid w:val="0097635E"/>
    <w:rsid w:val="009767E2"/>
    <w:rsid w:val="00976A1A"/>
    <w:rsid w:val="009773EA"/>
    <w:rsid w:val="009817C6"/>
    <w:rsid w:val="00983ADC"/>
    <w:rsid w:val="00984B7C"/>
    <w:rsid w:val="00984D8E"/>
    <w:rsid w:val="0098636C"/>
    <w:rsid w:val="00987718"/>
    <w:rsid w:val="0099067C"/>
    <w:rsid w:val="00992710"/>
    <w:rsid w:val="009936D6"/>
    <w:rsid w:val="00993D2C"/>
    <w:rsid w:val="00994171"/>
    <w:rsid w:val="0099422F"/>
    <w:rsid w:val="0099487E"/>
    <w:rsid w:val="00996C46"/>
    <w:rsid w:val="009A4DAD"/>
    <w:rsid w:val="009A4F25"/>
    <w:rsid w:val="009A5690"/>
    <w:rsid w:val="009A710F"/>
    <w:rsid w:val="009B1948"/>
    <w:rsid w:val="009B48B8"/>
    <w:rsid w:val="009B5337"/>
    <w:rsid w:val="009B7953"/>
    <w:rsid w:val="009C07D4"/>
    <w:rsid w:val="009C2151"/>
    <w:rsid w:val="009C2B64"/>
    <w:rsid w:val="009D04F1"/>
    <w:rsid w:val="009D0D63"/>
    <w:rsid w:val="009D1F1B"/>
    <w:rsid w:val="009D3B1C"/>
    <w:rsid w:val="009E0307"/>
    <w:rsid w:val="009E0A30"/>
    <w:rsid w:val="009E2DB0"/>
    <w:rsid w:val="009E2E54"/>
    <w:rsid w:val="009E32EF"/>
    <w:rsid w:val="009E3AA9"/>
    <w:rsid w:val="009E7B9E"/>
    <w:rsid w:val="009F0E0A"/>
    <w:rsid w:val="009F2A79"/>
    <w:rsid w:val="009F66E9"/>
    <w:rsid w:val="009F6B27"/>
    <w:rsid w:val="009F6F0F"/>
    <w:rsid w:val="009F7517"/>
    <w:rsid w:val="009F7FBC"/>
    <w:rsid w:val="00A05372"/>
    <w:rsid w:val="00A06448"/>
    <w:rsid w:val="00A06DEB"/>
    <w:rsid w:val="00A1695F"/>
    <w:rsid w:val="00A170D7"/>
    <w:rsid w:val="00A20666"/>
    <w:rsid w:val="00A213F8"/>
    <w:rsid w:val="00A226E7"/>
    <w:rsid w:val="00A237F7"/>
    <w:rsid w:val="00A239E2"/>
    <w:rsid w:val="00A2521A"/>
    <w:rsid w:val="00A27CCD"/>
    <w:rsid w:val="00A31B70"/>
    <w:rsid w:val="00A327E5"/>
    <w:rsid w:val="00A42247"/>
    <w:rsid w:val="00A42562"/>
    <w:rsid w:val="00A43C05"/>
    <w:rsid w:val="00A51490"/>
    <w:rsid w:val="00A516E9"/>
    <w:rsid w:val="00A5269E"/>
    <w:rsid w:val="00A53878"/>
    <w:rsid w:val="00A54929"/>
    <w:rsid w:val="00A6232D"/>
    <w:rsid w:val="00A654B8"/>
    <w:rsid w:val="00A65750"/>
    <w:rsid w:val="00A6773E"/>
    <w:rsid w:val="00A7147A"/>
    <w:rsid w:val="00A7206E"/>
    <w:rsid w:val="00A741BA"/>
    <w:rsid w:val="00A74C5F"/>
    <w:rsid w:val="00A74CA1"/>
    <w:rsid w:val="00A77936"/>
    <w:rsid w:val="00A77CAE"/>
    <w:rsid w:val="00A81413"/>
    <w:rsid w:val="00A830D9"/>
    <w:rsid w:val="00A8363D"/>
    <w:rsid w:val="00A85A78"/>
    <w:rsid w:val="00A86B76"/>
    <w:rsid w:val="00A86E07"/>
    <w:rsid w:val="00A906C1"/>
    <w:rsid w:val="00A916F4"/>
    <w:rsid w:val="00A91C50"/>
    <w:rsid w:val="00A92273"/>
    <w:rsid w:val="00A937E9"/>
    <w:rsid w:val="00A938F2"/>
    <w:rsid w:val="00A93D8A"/>
    <w:rsid w:val="00AA3CFE"/>
    <w:rsid w:val="00AA48DF"/>
    <w:rsid w:val="00AB1422"/>
    <w:rsid w:val="00AB15B5"/>
    <w:rsid w:val="00AB1F69"/>
    <w:rsid w:val="00AB3FFB"/>
    <w:rsid w:val="00AB7D87"/>
    <w:rsid w:val="00AC0064"/>
    <w:rsid w:val="00AC220E"/>
    <w:rsid w:val="00AC551E"/>
    <w:rsid w:val="00AC6E9B"/>
    <w:rsid w:val="00AD46CC"/>
    <w:rsid w:val="00AD5DE9"/>
    <w:rsid w:val="00AD7D46"/>
    <w:rsid w:val="00AE1E2C"/>
    <w:rsid w:val="00AE35E6"/>
    <w:rsid w:val="00AE50B6"/>
    <w:rsid w:val="00AE6E62"/>
    <w:rsid w:val="00AF13CF"/>
    <w:rsid w:val="00AF1449"/>
    <w:rsid w:val="00AF16F6"/>
    <w:rsid w:val="00AF1936"/>
    <w:rsid w:val="00AF1F80"/>
    <w:rsid w:val="00AF2904"/>
    <w:rsid w:val="00AF2CFE"/>
    <w:rsid w:val="00AF3007"/>
    <w:rsid w:val="00AF427F"/>
    <w:rsid w:val="00AF5D4A"/>
    <w:rsid w:val="00AF7652"/>
    <w:rsid w:val="00B00251"/>
    <w:rsid w:val="00B00FBA"/>
    <w:rsid w:val="00B02CAD"/>
    <w:rsid w:val="00B04501"/>
    <w:rsid w:val="00B0568F"/>
    <w:rsid w:val="00B065E6"/>
    <w:rsid w:val="00B0726C"/>
    <w:rsid w:val="00B109B8"/>
    <w:rsid w:val="00B15063"/>
    <w:rsid w:val="00B16A6E"/>
    <w:rsid w:val="00B20BBD"/>
    <w:rsid w:val="00B20BFC"/>
    <w:rsid w:val="00B22CB6"/>
    <w:rsid w:val="00B2541D"/>
    <w:rsid w:val="00B2689A"/>
    <w:rsid w:val="00B31252"/>
    <w:rsid w:val="00B319D1"/>
    <w:rsid w:val="00B31F29"/>
    <w:rsid w:val="00B34970"/>
    <w:rsid w:val="00B34FCF"/>
    <w:rsid w:val="00B362F1"/>
    <w:rsid w:val="00B42C26"/>
    <w:rsid w:val="00B4733C"/>
    <w:rsid w:val="00B50171"/>
    <w:rsid w:val="00B52CAD"/>
    <w:rsid w:val="00B52E5A"/>
    <w:rsid w:val="00B551F3"/>
    <w:rsid w:val="00B56A68"/>
    <w:rsid w:val="00B5748F"/>
    <w:rsid w:val="00B62AAF"/>
    <w:rsid w:val="00B62BB7"/>
    <w:rsid w:val="00B63141"/>
    <w:rsid w:val="00B6471B"/>
    <w:rsid w:val="00B64B43"/>
    <w:rsid w:val="00B6767E"/>
    <w:rsid w:val="00B70603"/>
    <w:rsid w:val="00B720CD"/>
    <w:rsid w:val="00B72597"/>
    <w:rsid w:val="00B72E33"/>
    <w:rsid w:val="00B73590"/>
    <w:rsid w:val="00B73601"/>
    <w:rsid w:val="00B73751"/>
    <w:rsid w:val="00B73F04"/>
    <w:rsid w:val="00B74851"/>
    <w:rsid w:val="00B7516E"/>
    <w:rsid w:val="00B754F7"/>
    <w:rsid w:val="00B75B89"/>
    <w:rsid w:val="00B80F7A"/>
    <w:rsid w:val="00B82363"/>
    <w:rsid w:val="00B83ADC"/>
    <w:rsid w:val="00B83B84"/>
    <w:rsid w:val="00B84B53"/>
    <w:rsid w:val="00B84CFE"/>
    <w:rsid w:val="00B9014F"/>
    <w:rsid w:val="00B92687"/>
    <w:rsid w:val="00B93298"/>
    <w:rsid w:val="00B9477F"/>
    <w:rsid w:val="00B95738"/>
    <w:rsid w:val="00BA1657"/>
    <w:rsid w:val="00BA50C4"/>
    <w:rsid w:val="00BA50DD"/>
    <w:rsid w:val="00BA6B88"/>
    <w:rsid w:val="00BB01E1"/>
    <w:rsid w:val="00BB2DD1"/>
    <w:rsid w:val="00BB49DB"/>
    <w:rsid w:val="00BB54CC"/>
    <w:rsid w:val="00BB6270"/>
    <w:rsid w:val="00BB655E"/>
    <w:rsid w:val="00BC0258"/>
    <w:rsid w:val="00BC0A62"/>
    <w:rsid w:val="00BC17D3"/>
    <w:rsid w:val="00BC1EB1"/>
    <w:rsid w:val="00BC37B3"/>
    <w:rsid w:val="00BC4312"/>
    <w:rsid w:val="00BC55E3"/>
    <w:rsid w:val="00BC6042"/>
    <w:rsid w:val="00BC6313"/>
    <w:rsid w:val="00BC67CE"/>
    <w:rsid w:val="00BC7F5B"/>
    <w:rsid w:val="00BD6381"/>
    <w:rsid w:val="00BE1C60"/>
    <w:rsid w:val="00BE2F8C"/>
    <w:rsid w:val="00BE62CB"/>
    <w:rsid w:val="00BF1FA0"/>
    <w:rsid w:val="00BF2420"/>
    <w:rsid w:val="00BF5E45"/>
    <w:rsid w:val="00BF631B"/>
    <w:rsid w:val="00BF6AD0"/>
    <w:rsid w:val="00C002F7"/>
    <w:rsid w:val="00C02926"/>
    <w:rsid w:val="00C0766A"/>
    <w:rsid w:val="00C1067B"/>
    <w:rsid w:val="00C126C3"/>
    <w:rsid w:val="00C13A79"/>
    <w:rsid w:val="00C15249"/>
    <w:rsid w:val="00C17602"/>
    <w:rsid w:val="00C2375A"/>
    <w:rsid w:val="00C26B97"/>
    <w:rsid w:val="00C2778E"/>
    <w:rsid w:val="00C31287"/>
    <w:rsid w:val="00C32041"/>
    <w:rsid w:val="00C34120"/>
    <w:rsid w:val="00C34153"/>
    <w:rsid w:val="00C364D3"/>
    <w:rsid w:val="00C407C7"/>
    <w:rsid w:val="00C421D7"/>
    <w:rsid w:val="00C4381D"/>
    <w:rsid w:val="00C444FA"/>
    <w:rsid w:val="00C503B3"/>
    <w:rsid w:val="00C50D4F"/>
    <w:rsid w:val="00C51C43"/>
    <w:rsid w:val="00C5367F"/>
    <w:rsid w:val="00C567D9"/>
    <w:rsid w:val="00C56849"/>
    <w:rsid w:val="00C601FA"/>
    <w:rsid w:val="00C604DB"/>
    <w:rsid w:val="00C6292E"/>
    <w:rsid w:val="00C63D50"/>
    <w:rsid w:val="00C64C8F"/>
    <w:rsid w:val="00C654CD"/>
    <w:rsid w:val="00C674FB"/>
    <w:rsid w:val="00C76602"/>
    <w:rsid w:val="00C804CA"/>
    <w:rsid w:val="00C822B6"/>
    <w:rsid w:val="00C85CB3"/>
    <w:rsid w:val="00C85D5F"/>
    <w:rsid w:val="00C862F4"/>
    <w:rsid w:val="00C905F3"/>
    <w:rsid w:val="00C91158"/>
    <w:rsid w:val="00C915EA"/>
    <w:rsid w:val="00C91E20"/>
    <w:rsid w:val="00C923F5"/>
    <w:rsid w:val="00C944D3"/>
    <w:rsid w:val="00C95332"/>
    <w:rsid w:val="00C953CE"/>
    <w:rsid w:val="00C9680C"/>
    <w:rsid w:val="00CA10FC"/>
    <w:rsid w:val="00CB18D6"/>
    <w:rsid w:val="00CB25AA"/>
    <w:rsid w:val="00CB3211"/>
    <w:rsid w:val="00CB3283"/>
    <w:rsid w:val="00CB356F"/>
    <w:rsid w:val="00CB7A49"/>
    <w:rsid w:val="00CC417F"/>
    <w:rsid w:val="00CC4CB2"/>
    <w:rsid w:val="00CC5997"/>
    <w:rsid w:val="00CC75E8"/>
    <w:rsid w:val="00CD12A9"/>
    <w:rsid w:val="00CD174B"/>
    <w:rsid w:val="00CD5B4C"/>
    <w:rsid w:val="00CD5CAB"/>
    <w:rsid w:val="00CD6E39"/>
    <w:rsid w:val="00CE018F"/>
    <w:rsid w:val="00CE02E6"/>
    <w:rsid w:val="00CE04D5"/>
    <w:rsid w:val="00CE3F13"/>
    <w:rsid w:val="00CE5568"/>
    <w:rsid w:val="00CE5AD1"/>
    <w:rsid w:val="00CE6EF9"/>
    <w:rsid w:val="00CF120F"/>
    <w:rsid w:val="00CF459D"/>
    <w:rsid w:val="00CF49CB"/>
    <w:rsid w:val="00CF544C"/>
    <w:rsid w:val="00D00BAA"/>
    <w:rsid w:val="00D0183D"/>
    <w:rsid w:val="00D0239E"/>
    <w:rsid w:val="00D040D1"/>
    <w:rsid w:val="00D055E2"/>
    <w:rsid w:val="00D0608F"/>
    <w:rsid w:val="00D06364"/>
    <w:rsid w:val="00D11F1D"/>
    <w:rsid w:val="00D1414B"/>
    <w:rsid w:val="00D17B4B"/>
    <w:rsid w:val="00D212C6"/>
    <w:rsid w:val="00D216A8"/>
    <w:rsid w:val="00D21F52"/>
    <w:rsid w:val="00D242F8"/>
    <w:rsid w:val="00D27273"/>
    <w:rsid w:val="00D35BFA"/>
    <w:rsid w:val="00D36511"/>
    <w:rsid w:val="00D367F7"/>
    <w:rsid w:val="00D402C4"/>
    <w:rsid w:val="00D40725"/>
    <w:rsid w:val="00D42102"/>
    <w:rsid w:val="00D45FED"/>
    <w:rsid w:val="00D47989"/>
    <w:rsid w:val="00D50A17"/>
    <w:rsid w:val="00D5195C"/>
    <w:rsid w:val="00D52C92"/>
    <w:rsid w:val="00D550AE"/>
    <w:rsid w:val="00D55D20"/>
    <w:rsid w:val="00D56D1F"/>
    <w:rsid w:val="00D61CA5"/>
    <w:rsid w:val="00D6300B"/>
    <w:rsid w:val="00D637AC"/>
    <w:rsid w:val="00D66A45"/>
    <w:rsid w:val="00D67994"/>
    <w:rsid w:val="00D718A3"/>
    <w:rsid w:val="00D76A2F"/>
    <w:rsid w:val="00D77D19"/>
    <w:rsid w:val="00D83A74"/>
    <w:rsid w:val="00D84647"/>
    <w:rsid w:val="00D86DD2"/>
    <w:rsid w:val="00D87435"/>
    <w:rsid w:val="00D875A6"/>
    <w:rsid w:val="00D87633"/>
    <w:rsid w:val="00D941EB"/>
    <w:rsid w:val="00DA0EF8"/>
    <w:rsid w:val="00DA3F70"/>
    <w:rsid w:val="00DA7079"/>
    <w:rsid w:val="00DA70D2"/>
    <w:rsid w:val="00DB41BA"/>
    <w:rsid w:val="00DB4A13"/>
    <w:rsid w:val="00DB6E9F"/>
    <w:rsid w:val="00DB7BAB"/>
    <w:rsid w:val="00DC1A30"/>
    <w:rsid w:val="00DC2FAB"/>
    <w:rsid w:val="00DC31EC"/>
    <w:rsid w:val="00DC3BA5"/>
    <w:rsid w:val="00DC6356"/>
    <w:rsid w:val="00DD1995"/>
    <w:rsid w:val="00DD42EF"/>
    <w:rsid w:val="00DD4902"/>
    <w:rsid w:val="00DD5680"/>
    <w:rsid w:val="00DE149C"/>
    <w:rsid w:val="00DE1A0D"/>
    <w:rsid w:val="00DE1A21"/>
    <w:rsid w:val="00DE5641"/>
    <w:rsid w:val="00DE6228"/>
    <w:rsid w:val="00DE7BC7"/>
    <w:rsid w:val="00DF0F44"/>
    <w:rsid w:val="00DF1243"/>
    <w:rsid w:val="00DF138F"/>
    <w:rsid w:val="00DF3984"/>
    <w:rsid w:val="00DF738F"/>
    <w:rsid w:val="00E03644"/>
    <w:rsid w:val="00E03F2D"/>
    <w:rsid w:val="00E04392"/>
    <w:rsid w:val="00E0499B"/>
    <w:rsid w:val="00E05277"/>
    <w:rsid w:val="00E06180"/>
    <w:rsid w:val="00E1042C"/>
    <w:rsid w:val="00E16DD2"/>
    <w:rsid w:val="00E1713A"/>
    <w:rsid w:val="00E2266B"/>
    <w:rsid w:val="00E30A25"/>
    <w:rsid w:val="00E405C3"/>
    <w:rsid w:val="00E41651"/>
    <w:rsid w:val="00E419C5"/>
    <w:rsid w:val="00E43E18"/>
    <w:rsid w:val="00E4606C"/>
    <w:rsid w:val="00E462AD"/>
    <w:rsid w:val="00E47786"/>
    <w:rsid w:val="00E50400"/>
    <w:rsid w:val="00E505F9"/>
    <w:rsid w:val="00E5240A"/>
    <w:rsid w:val="00E54EC7"/>
    <w:rsid w:val="00E56443"/>
    <w:rsid w:val="00E57A23"/>
    <w:rsid w:val="00E61097"/>
    <w:rsid w:val="00E623B0"/>
    <w:rsid w:val="00E633F9"/>
    <w:rsid w:val="00E66136"/>
    <w:rsid w:val="00E6706C"/>
    <w:rsid w:val="00E67458"/>
    <w:rsid w:val="00E677C8"/>
    <w:rsid w:val="00E67AEF"/>
    <w:rsid w:val="00E70FD9"/>
    <w:rsid w:val="00E7167A"/>
    <w:rsid w:val="00E73557"/>
    <w:rsid w:val="00E73790"/>
    <w:rsid w:val="00E768D0"/>
    <w:rsid w:val="00E76FC2"/>
    <w:rsid w:val="00E80803"/>
    <w:rsid w:val="00E80CA0"/>
    <w:rsid w:val="00E81A6F"/>
    <w:rsid w:val="00E83165"/>
    <w:rsid w:val="00E83222"/>
    <w:rsid w:val="00E832A8"/>
    <w:rsid w:val="00E85466"/>
    <w:rsid w:val="00E85AB4"/>
    <w:rsid w:val="00E8705E"/>
    <w:rsid w:val="00E92F11"/>
    <w:rsid w:val="00E92F5E"/>
    <w:rsid w:val="00E94DDE"/>
    <w:rsid w:val="00E9667F"/>
    <w:rsid w:val="00EA03D1"/>
    <w:rsid w:val="00EA4735"/>
    <w:rsid w:val="00EB00C5"/>
    <w:rsid w:val="00EB134A"/>
    <w:rsid w:val="00EB1A3D"/>
    <w:rsid w:val="00EB2D6C"/>
    <w:rsid w:val="00EB4BE4"/>
    <w:rsid w:val="00EB756E"/>
    <w:rsid w:val="00EC0223"/>
    <w:rsid w:val="00EC481C"/>
    <w:rsid w:val="00EC5970"/>
    <w:rsid w:val="00EC63A2"/>
    <w:rsid w:val="00EC6E02"/>
    <w:rsid w:val="00EC6E5B"/>
    <w:rsid w:val="00ED1F06"/>
    <w:rsid w:val="00ED2F81"/>
    <w:rsid w:val="00ED6883"/>
    <w:rsid w:val="00ED7F98"/>
    <w:rsid w:val="00EE036E"/>
    <w:rsid w:val="00EE22FE"/>
    <w:rsid w:val="00EE393D"/>
    <w:rsid w:val="00EE7B3F"/>
    <w:rsid w:val="00EF55D0"/>
    <w:rsid w:val="00F00A27"/>
    <w:rsid w:val="00F029E0"/>
    <w:rsid w:val="00F05132"/>
    <w:rsid w:val="00F0572B"/>
    <w:rsid w:val="00F06FBA"/>
    <w:rsid w:val="00F07C0E"/>
    <w:rsid w:val="00F16A40"/>
    <w:rsid w:val="00F174DD"/>
    <w:rsid w:val="00F328C7"/>
    <w:rsid w:val="00F32905"/>
    <w:rsid w:val="00F356A5"/>
    <w:rsid w:val="00F42DE0"/>
    <w:rsid w:val="00F4761F"/>
    <w:rsid w:val="00F503DA"/>
    <w:rsid w:val="00F50A2D"/>
    <w:rsid w:val="00F51725"/>
    <w:rsid w:val="00F51CED"/>
    <w:rsid w:val="00F53331"/>
    <w:rsid w:val="00F55551"/>
    <w:rsid w:val="00F564AB"/>
    <w:rsid w:val="00F57A9C"/>
    <w:rsid w:val="00F65B2D"/>
    <w:rsid w:val="00F66F8F"/>
    <w:rsid w:val="00F71A55"/>
    <w:rsid w:val="00F71C29"/>
    <w:rsid w:val="00F7262B"/>
    <w:rsid w:val="00F72ABE"/>
    <w:rsid w:val="00F75039"/>
    <w:rsid w:val="00F75AF5"/>
    <w:rsid w:val="00F76EEE"/>
    <w:rsid w:val="00F77C71"/>
    <w:rsid w:val="00F801C3"/>
    <w:rsid w:val="00F81F84"/>
    <w:rsid w:val="00F83F0E"/>
    <w:rsid w:val="00F905C9"/>
    <w:rsid w:val="00F93965"/>
    <w:rsid w:val="00F94F5D"/>
    <w:rsid w:val="00F96C26"/>
    <w:rsid w:val="00FA010B"/>
    <w:rsid w:val="00FA289A"/>
    <w:rsid w:val="00FA3293"/>
    <w:rsid w:val="00FA3423"/>
    <w:rsid w:val="00FA5CF2"/>
    <w:rsid w:val="00FA7803"/>
    <w:rsid w:val="00FB0D0B"/>
    <w:rsid w:val="00FB4084"/>
    <w:rsid w:val="00FB53F4"/>
    <w:rsid w:val="00FB705B"/>
    <w:rsid w:val="00FC06A0"/>
    <w:rsid w:val="00FC3545"/>
    <w:rsid w:val="00FC495D"/>
    <w:rsid w:val="00FC5556"/>
    <w:rsid w:val="00FC64AC"/>
    <w:rsid w:val="00FC6DE8"/>
    <w:rsid w:val="00FC7762"/>
    <w:rsid w:val="00FE1EBB"/>
    <w:rsid w:val="00FE3931"/>
    <w:rsid w:val="00FF0391"/>
    <w:rsid w:val="00FF0F1F"/>
    <w:rsid w:val="00FF46B3"/>
    <w:rsid w:val="00FF512A"/>
    <w:rsid w:val="00FF74DE"/>
    <w:rsid w:val="00FF77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8160C6"/>
  <w15:docId w15:val="{F0CB56FD-FB9B-4779-8B7B-EA0C0A45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F4"/>
  </w:style>
  <w:style w:type="paragraph" w:styleId="Heading1">
    <w:name w:val="heading 1"/>
    <w:basedOn w:val="Normal"/>
    <w:next w:val="Normal"/>
    <w:link w:val="Heading1Char"/>
    <w:uiPriority w:val="9"/>
    <w:qFormat/>
    <w:rsid w:val="000F296A"/>
    <w:pPr>
      <w:keepNext/>
      <w:keepLines/>
      <w:numPr>
        <w:numId w:val="1"/>
      </w:numPr>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Heading1"/>
    <w:next w:val="Normal"/>
    <w:link w:val="Heading2Char"/>
    <w:uiPriority w:val="9"/>
    <w:unhideWhenUsed/>
    <w:qFormat/>
    <w:rsid w:val="000F296A"/>
    <w:pPr>
      <w:numPr>
        <w:ilvl w:val="1"/>
      </w:numPr>
      <w:outlineLvl w:val="1"/>
    </w:pPr>
    <w:rPr>
      <w:b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C0E4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99"/>
    <w:rsid w:val="005C0E46"/>
    <w:rPr>
      <w:rFonts w:eastAsiaTheme="minorEastAsia"/>
      <w:lang w:val="en-US" w:eastAsia="ja-JP"/>
    </w:rPr>
  </w:style>
  <w:style w:type="paragraph" w:styleId="BalloonText">
    <w:name w:val="Balloon Text"/>
    <w:basedOn w:val="Normal"/>
    <w:link w:val="BalloonTextChar"/>
    <w:uiPriority w:val="99"/>
    <w:semiHidden/>
    <w:unhideWhenUsed/>
    <w:rsid w:val="005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E46"/>
    <w:rPr>
      <w:rFonts w:ascii="Tahoma" w:hAnsi="Tahoma" w:cs="Tahoma"/>
      <w:sz w:val="16"/>
      <w:szCs w:val="16"/>
    </w:rPr>
  </w:style>
  <w:style w:type="character" w:customStyle="1" w:styleId="Heading1Char">
    <w:name w:val="Heading 1 Char"/>
    <w:basedOn w:val="DefaultParagraphFont"/>
    <w:link w:val="Heading1"/>
    <w:uiPriority w:val="9"/>
    <w:rsid w:val="000F296A"/>
    <w:rPr>
      <w:rFonts w:asciiTheme="majorHAnsi" w:eastAsiaTheme="majorEastAsia" w:hAnsiTheme="majorHAnsi" w:cstheme="majorBidi"/>
      <w:b/>
      <w:bCs/>
      <w:color w:val="42558C" w:themeColor="accent1" w:themeShade="BF"/>
      <w:sz w:val="28"/>
      <w:szCs w:val="28"/>
    </w:rPr>
  </w:style>
  <w:style w:type="paragraph" w:styleId="TOCHeading">
    <w:name w:val="TOC Heading"/>
    <w:basedOn w:val="Heading1"/>
    <w:next w:val="Normal"/>
    <w:uiPriority w:val="39"/>
    <w:unhideWhenUsed/>
    <w:qFormat/>
    <w:rsid w:val="0068770C"/>
    <w:pPr>
      <w:outlineLvl w:val="9"/>
    </w:pPr>
    <w:rPr>
      <w:lang w:val="en-US" w:eastAsia="ja-JP"/>
    </w:rPr>
  </w:style>
  <w:style w:type="character" w:customStyle="1" w:styleId="Heading2Char">
    <w:name w:val="Heading 2 Char"/>
    <w:basedOn w:val="DefaultParagraphFont"/>
    <w:link w:val="Heading2"/>
    <w:uiPriority w:val="9"/>
    <w:rsid w:val="000F296A"/>
    <w:rPr>
      <w:rFonts w:asciiTheme="majorHAnsi" w:eastAsiaTheme="majorEastAsia" w:hAnsiTheme="majorHAnsi" w:cstheme="majorBidi"/>
      <w:bCs/>
      <w:color w:val="42558C" w:themeColor="accent1" w:themeShade="BF"/>
      <w:sz w:val="26"/>
      <w:szCs w:val="26"/>
    </w:rPr>
  </w:style>
  <w:style w:type="paragraph" w:styleId="BodyText">
    <w:name w:val="Body Text"/>
    <w:basedOn w:val="Normal"/>
    <w:link w:val="BodyTextChar"/>
    <w:uiPriority w:val="99"/>
    <w:rsid w:val="0068770C"/>
    <w:pPr>
      <w:spacing w:after="0" w:line="240" w:lineRule="auto"/>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68770C"/>
    <w:rPr>
      <w:rFonts w:ascii="Times New Roman" w:eastAsia="Times New Roman" w:hAnsi="Times New Roman" w:cs="Times New Roman"/>
      <w:b/>
      <w:szCs w:val="20"/>
    </w:rPr>
  </w:style>
  <w:style w:type="paragraph" w:styleId="ListParagraph">
    <w:name w:val="List Paragraph"/>
    <w:basedOn w:val="Normal"/>
    <w:uiPriority w:val="34"/>
    <w:qFormat/>
    <w:rsid w:val="004235C1"/>
    <w:pPr>
      <w:ind w:left="720"/>
      <w:contextualSpacing/>
    </w:pPr>
  </w:style>
  <w:style w:type="paragraph" w:styleId="Header">
    <w:name w:val="header"/>
    <w:basedOn w:val="Normal"/>
    <w:link w:val="HeaderChar"/>
    <w:uiPriority w:val="99"/>
    <w:unhideWhenUsed/>
    <w:rsid w:val="004235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35C1"/>
  </w:style>
  <w:style w:type="paragraph" w:styleId="Footer">
    <w:name w:val="footer"/>
    <w:basedOn w:val="Normal"/>
    <w:link w:val="FooterChar"/>
    <w:uiPriority w:val="99"/>
    <w:unhideWhenUsed/>
    <w:rsid w:val="004235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35C1"/>
  </w:style>
  <w:style w:type="paragraph" w:styleId="TOC1">
    <w:name w:val="toc 1"/>
    <w:basedOn w:val="Normal"/>
    <w:next w:val="Normal"/>
    <w:autoRedefine/>
    <w:uiPriority w:val="39"/>
    <w:unhideWhenUsed/>
    <w:rsid w:val="009E0307"/>
    <w:pPr>
      <w:tabs>
        <w:tab w:val="left" w:pos="567"/>
        <w:tab w:val="right" w:leader="dot" w:pos="8296"/>
      </w:tabs>
      <w:spacing w:after="100"/>
      <w:ind w:left="567" w:hanging="567"/>
    </w:pPr>
    <w:rPr>
      <w:b/>
      <w:noProof/>
    </w:rPr>
  </w:style>
  <w:style w:type="paragraph" w:styleId="TOC2">
    <w:name w:val="toc 2"/>
    <w:basedOn w:val="Normal"/>
    <w:next w:val="Normal"/>
    <w:autoRedefine/>
    <w:uiPriority w:val="39"/>
    <w:unhideWhenUsed/>
    <w:rsid w:val="00FF46B3"/>
    <w:pPr>
      <w:tabs>
        <w:tab w:val="left" w:pos="709"/>
        <w:tab w:val="right" w:leader="dot" w:pos="8296"/>
      </w:tabs>
      <w:spacing w:after="40" w:line="240" w:lineRule="auto"/>
    </w:pPr>
  </w:style>
  <w:style w:type="character" w:styleId="Hyperlink">
    <w:name w:val="Hyperlink"/>
    <w:basedOn w:val="DefaultParagraphFont"/>
    <w:uiPriority w:val="99"/>
    <w:unhideWhenUsed/>
    <w:rsid w:val="000F296A"/>
    <w:rPr>
      <w:color w:val="3399FF" w:themeColor="hyperlink"/>
      <w:u w:val="single"/>
    </w:rPr>
  </w:style>
  <w:style w:type="table" w:styleId="TableGrid">
    <w:name w:val="Table Grid"/>
    <w:basedOn w:val="TableNormal"/>
    <w:uiPriority w:val="59"/>
    <w:rsid w:val="0056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689A"/>
    <w:rPr>
      <w:sz w:val="16"/>
      <w:szCs w:val="16"/>
    </w:rPr>
  </w:style>
  <w:style w:type="paragraph" w:styleId="CommentText">
    <w:name w:val="annotation text"/>
    <w:basedOn w:val="Normal"/>
    <w:link w:val="CommentTextChar"/>
    <w:uiPriority w:val="99"/>
    <w:unhideWhenUsed/>
    <w:rsid w:val="00B2689A"/>
    <w:pPr>
      <w:spacing w:line="240" w:lineRule="auto"/>
    </w:pPr>
    <w:rPr>
      <w:sz w:val="20"/>
      <w:szCs w:val="20"/>
    </w:rPr>
  </w:style>
  <w:style w:type="character" w:customStyle="1" w:styleId="CommentTextChar">
    <w:name w:val="Comment Text Char"/>
    <w:basedOn w:val="DefaultParagraphFont"/>
    <w:link w:val="CommentText"/>
    <w:uiPriority w:val="99"/>
    <w:rsid w:val="00B2689A"/>
    <w:rPr>
      <w:sz w:val="20"/>
      <w:szCs w:val="20"/>
    </w:rPr>
  </w:style>
  <w:style w:type="paragraph" w:styleId="CommentSubject">
    <w:name w:val="annotation subject"/>
    <w:basedOn w:val="CommentText"/>
    <w:next w:val="CommentText"/>
    <w:link w:val="CommentSubjectChar"/>
    <w:uiPriority w:val="99"/>
    <w:semiHidden/>
    <w:unhideWhenUsed/>
    <w:rsid w:val="00B2689A"/>
    <w:rPr>
      <w:b/>
      <w:bCs/>
    </w:rPr>
  </w:style>
  <w:style w:type="character" w:customStyle="1" w:styleId="CommentSubjectChar">
    <w:name w:val="Comment Subject Char"/>
    <w:basedOn w:val="CommentTextChar"/>
    <w:link w:val="CommentSubject"/>
    <w:uiPriority w:val="99"/>
    <w:semiHidden/>
    <w:rsid w:val="00B2689A"/>
    <w:rPr>
      <w:b/>
      <w:bCs/>
      <w:sz w:val="20"/>
      <w:szCs w:val="20"/>
    </w:rPr>
  </w:style>
  <w:style w:type="character" w:styleId="FollowedHyperlink">
    <w:name w:val="FollowedHyperlink"/>
    <w:basedOn w:val="DefaultParagraphFont"/>
    <w:uiPriority w:val="99"/>
    <w:semiHidden/>
    <w:unhideWhenUsed/>
    <w:rsid w:val="00667602"/>
    <w:rPr>
      <w:color w:val="B2B2B2" w:themeColor="followedHyperlink"/>
      <w:u w:val="single"/>
    </w:rPr>
  </w:style>
  <w:style w:type="table" w:customStyle="1" w:styleId="TableGrid1">
    <w:name w:val="Table Grid1"/>
    <w:basedOn w:val="TableNormal"/>
    <w:next w:val="TableGrid"/>
    <w:uiPriority w:val="59"/>
    <w:rsid w:val="006C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9E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76F9B"/>
    <w:pPr>
      <w:spacing w:after="0" w:line="240" w:lineRule="auto"/>
    </w:pPr>
  </w:style>
  <w:style w:type="paragraph" w:styleId="FootnoteText">
    <w:name w:val="footnote text"/>
    <w:basedOn w:val="Normal"/>
    <w:link w:val="FootnoteTextChar"/>
    <w:uiPriority w:val="99"/>
    <w:unhideWhenUsed/>
    <w:rsid w:val="008F3AB9"/>
    <w:pPr>
      <w:spacing w:after="0" w:line="240" w:lineRule="auto"/>
    </w:pPr>
    <w:rPr>
      <w:sz w:val="20"/>
      <w:szCs w:val="20"/>
      <w:lang w:val="nl-BE"/>
    </w:rPr>
  </w:style>
  <w:style w:type="character" w:customStyle="1" w:styleId="FootnoteTextChar">
    <w:name w:val="Footnote Text Char"/>
    <w:basedOn w:val="DefaultParagraphFont"/>
    <w:link w:val="FootnoteText"/>
    <w:uiPriority w:val="99"/>
    <w:rsid w:val="008F3AB9"/>
    <w:rPr>
      <w:sz w:val="20"/>
      <w:szCs w:val="20"/>
      <w:lang w:val="nl-BE"/>
    </w:rPr>
  </w:style>
  <w:style w:type="character" w:styleId="FootnoteReference">
    <w:name w:val="footnote reference"/>
    <w:basedOn w:val="DefaultParagraphFont"/>
    <w:uiPriority w:val="99"/>
    <w:unhideWhenUsed/>
    <w:rsid w:val="008F3AB9"/>
    <w:rPr>
      <w:vertAlign w:val="superscript"/>
    </w:rPr>
  </w:style>
  <w:style w:type="paragraph" w:styleId="EndnoteText">
    <w:name w:val="endnote text"/>
    <w:basedOn w:val="Normal"/>
    <w:link w:val="EndnoteTextChar"/>
    <w:uiPriority w:val="99"/>
    <w:semiHidden/>
    <w:unhideWhenUsed/>
    <w:rsid w:val="00F71A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A55"/>
    <w:rPr>
      <w:sz w:val="20"/>
      <w:szCs w:val="20"/>
    </w:rPr>
  </w:style>
  <w:style w:type="character" w:styleId="EndnoteReference">
    <w:name w:val="endnote reference"/>
    <w:basedOn w:val="DefaultParagraphFont"/>
    <w:uiPriority w:val="99"/>
    <w:semiHidden/>
    <w:unhideWhenUsed/>
    <w:rsid w:val="00F71A55"/>
    <w:rPr>
      <w:vertAlign w:val="superscript"/>
    </w:rPr>
  </w:style>
  <w:style w:type="paragraph" w:styleId="Subtitle">
    <w:name w:val="Subtitle"/>
    <w:basedOn w:val="Normal"/>
    <w:next w:val="Normal"/>
    <w:link w:val="SubtitleChar"/>
    <w:uiPriority w:val="11"/>
    <w:qFormat/>
    <w:rsid w:val="007D6B04"/>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uiPriority w:val="11"/>
    <w:rsid w:val="007D6B04"/>
    <w:rPr>
      <w:rFonts w:asciiTheme="majorHAnsi" w:eastAsiaTheme="majorEastAsia" w:hAnsiTheme="majorHAnsi" w:cstheme="majorBidi"/>
      <w:i/>
      <w:iCs/>
      <w:color w:val="6076B4" w:themeColor="accent1"/>
      <w:spacing w:val="15"/>
      <w:sz w:val="24"/>
      <w:szCs w:val="24"/>
    </w:rPr>
  </w:style>
  <w:style w:type="paragraph" w:customStyle="1" w:styleId="CM1">
    <w:name w:val="CM1"/>
    <w:basedOn w:val="Default"/>
    <w:next w:val="Default"/>
    <w:uiPriority w:val="99"/>
    <w:rsid w:val="007D6B04"/>
    <w:rPr>
      <w:rFonts w:ascii="EUAlbertina" w:hAnsi="EUAlbertina" w:cstheme="minorBidi"/>
      <w:color w:val="auto"/>
    </w:rPr>
  </w:style>
  <w:style w:type="paragraph" w:customStyle="1" w:styleId="CM3">
    <w:name w:val="CM3"/>
    <w:basedOn w:val="Default"/>
    <w:next w:val="Default"/>
    <w:uiPriority w:val="99"/>
    <w:rsid w:val="007D6B04"/>
    <w:rPr>
      <w:rFonts w:ascii="EUAlbertina" w:hAnsi="EUAlbertina" w:cstheme="minorBidi"/>
      <w:color w:val="auto"/>
    </w:rPr>
  </w:style>
  <w:style w:type="paragraph" w:customStyle="1" w:styleId="CM13">
    <w:name w:val="CM1+3"/>
    <w:basedOn w:val="Default"/>
    <w:next w:val="Default"/>
    <w:uiPriority w:val="99"/>
    <w:rsid w:val="007D6B04"/>
    <w:rPr>
      <w:rFonts w:ascii="EUAlbertina" w:hAnsi="EUAlbertina" w:cstheme="minorBidi"/>
      <w:color w:val="auto"/>
    </w:rPr>
  </w:style>
  <w:style w:type="paragraph" w:customStyle="1" w:styleId="CM43">
    <w:name w:val="CM4+3"/>
    <w:basedOn w:val="Normal"/>
    <w:next w:val="Normal"/>
    <w:uiPriority w:val="99"/>
    <w:rsid w:val="007D6B04"/>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Default"/>
    <w:next w:val="Default"/>
    <w:uiPriority w:val="99"/>
    <w:rsid w:val="007D6B04"/>
    <w:rPr>
      <w:rFonts w:ascii="EUAlbertina" w:eastAsia="Times New Roman" w:hAnsi="EUAlbertina" w:cs="Times New Roman"/>
      <w:color w:val="auto"/>
    </w:rPr>
  </w:style>
  <w:style w:type="paragraph" w:customStyle="1" w:styleId="CM14">
    <w:name w:val="CM1+4"/>
    <w:basedOn w:val="Default"/>
    <w:next w:val="Default"/>
    <w:uiPriority w:val="99"/>
    <w:rsid w:val="007D6B04"/>
    <w:rPr>
      <w:rFonts w:ascii="EUAlbertina" w:eastAsia="Times New Roman"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258">
      <w:bodyDiv w:val="1"/>
      <w:marLeft w:val="0"/>
      <w:marRight w:val="0"/>
      <w:marTop w:val="0"/>
      <w:marBottom w:val="0"/>
      <w:divBdr>
        <w:top w:val="none" w:sz="0" w:space="0" w:color="auto"/>
        <w:left w:val="none" w:sz="0" w:space="0" w:color="auto"/>
        <w:bottom w:val="none" w:sz="0" w:space="0" w:color="auto"/>
        <w:right w:val="none" w:sz="0" w:space="0" w:color="auto"/>
      </w:divBdr>
    </w:div>
    <w:div w:id="83042555">
      <w:bodyDiv w:val="1"/>
      <w:marLeft w:val="0"/>
      <w:marRight w:val="0"/>
      <w:marTop w:val="0"/>
      <w:marBottom w:val="0"/>
      <w:divBdr>
        <w:top w:val="none" w:sz="0" w:space="0" w:color="auto"/>
        <w:left w:val="none" w:sz="0" w:space="0" w:color="auto"/>
        <w:bottom w:val="none" w:sz="0" w:space="0" w:color="auto"/>
        <w:right w:val="none" w:sz="0" w:space="0" w:color="auto"/>
      </w:divBdr>
    </w:div>
    <w:div w:id="87313666">
      <w:bodyDiv w:val="1"/>
      <w:marLeft w:val="0"/>
      <w:marRight w:val="0"/>
      <w:marTop w:val="0"/>
      <w:marBottom w:val="0"/>
      <w:divBdr>
        <w:top w:val="none" w:sz="0" w:space="0" w:color="auto"/>
        <w:left w:val="none" w:sz="0" w:space="0" w:color="auto"/>
        <w:bottom w:val="none" w:sz="0" w:space="0" w:color="auto"/>
        <w:right w:val="none" w:sz="0" w:space="0" w:color="auto"/>
      </w:divBdr>
    </w:div>
    <w:div w:id="102266494">
      <w:bodyDiv w:val="1"/>
      <w:marLeft w:val="0"/>
      <w:marRight w:val="0"/>
      <w:marTop w:val="0"/>
      <w:marBottom w:val="0"/>
      <w:divBdr>
        <w:top w:val="none" w:sz="0" w:space="0" w:color="auto"/>
        <w:left w:val="none" w:sz="0" w:space="0" w:color="auto"/>
        <w:bottom w:val="none" w:sz="0" w:space="0" w:color="auto"/>
        <w:right w:val="none" w:sz="0" w:space="0" w:color="auto"/>
      </w:divBdr>
    </w:div>
    <w:div w:id="124542435">
      <w:bodyDiv w:val="1"/>
      <w:marLeft w:val="0"/>
      <w:marRight w:val="0"/>
      <w:marTop w:val="0"/>
      <w:marBottom w:val="0"/>
      <w:divBdr>
        <w:top w:val="none" w:sz="0" w:space="0" w:color="auto"/>
        <w:left w:val="none" w:sz="0" w:space="0" w:color="auto"/>
        <w:bottom w:val="none" w:sz="0" w:space="0" w:color="auto"/>
        <w:right w:val="none" w:sz="0" w:space="0" w:color="auto"/>
      </w:divBdr>
    </w:div>
    <w:div w:id="265892098">
      <w:bodyDiv w:val="1"/>
      <w:marLeft w:val="0"/>
      <w:marRight w:val="0"/>
      <w:marTop w:val="0"/>
      <w:marBottom w:val="0"/>
      <w:divBdr>
        <w:top w:val="none" w:sz="0" w:space="0" w:color="auto"/>
        <w:left w:val="none" w:sz="0" w:space="0" w:color="auto"/>
        <w:bottom w:val="none" w:sz="0" w:space="0" w:color="auto"/>
        <w:right w:val="none" w:sz="0" w:space="0" w:color="auto"/>
      </w:divBdr>
    </w:div>
    <w:div w:id="358239922">
      <w:bodyDiv w:val="1"/>
      <w:marLeft w:val="0"/>
      <w:marRight w:val="0"/>
      <w:marTop w:val="0"/>
      <w:marBottom w:val="0"/>
      <w:divBdr>
        <w:top w:val="none" w:sz="0" w:space="0" w:color="auto"/>
        <w:left w:val="none" w:sz="0" w:space="0" w:color="auto"/>
        <w:bottom w:val="none" w:sz="0" w:space="0" w:color="auto"/>
        <w:right w:val="none" w:sz="0" w:space="0" w:color="auto"/>
      </w:divBdr>
    </w:div>
    <w:div w:id="481427849">
      <w:bodyDiv w:val="1"/>
      <w:marLeft w:val="0"/>
      <w:marRight w:val="0"/>
      <w:marTop w:val="0"/>
      <w:marBottom w:val="0"/>
      <w:divBdr>
        <w:top w:val="none" w:sz="0" w:space="0" w:color="auto"/>
        <w:left w:val="none" w:sz="0" w:space="0" w:color="auto"/>
        <w:bottom w:val="none" w:sz="0" w:space="0" w:color="auto"/>
        <w:right w:val="none" w:sz="0" w:space="0" w:color="auto"/>
      </w:divBdr>
    </w:div>
    <w:div w:id="493954658">
      <w:bodyDiv w:val="1"/>
      <w:marLeft w:val="0"/>
      <w:marRight w:val="0"/>
      <w:marTop w:val="0"/>
      <w:marBottom w:val="0"/>
      <w:divBdr>
        <w:top w:val="none" w:sz="0" w:space="0" w:color="auto"/>
        <w:left w:val="none" w:sz="0" w:space="0" w:color="auto"/>
        <w:bottom w:val="none" w:sz="0" w:space="0" w:color="auto"/>
        <w:right w:val="none" w:sz="0" w:space="0" w:color="auto"/>
      </w:divBdr>
    </w:div>
    <w:div w:id="528034985">
      <w:bodyDiv w:val="1"/>
      <w:marLeft w:val="0"/>
      <w:marRight w:val="0"/>
      <w:marTop w:val="0"/>
      <w:marBottom w:val="0"/>
      <w:divBdr>
        <w:top w:val="none" w:sz="0" w:space="0" w:color="auto"/>
        <w:left w:val="none" w:sz="0" w:space="0" w:color="auto"/>
        <w:bottom w:val="none" w:sz="0" w:space="0" w:color="auto"/>
        <w:right w:val="none" w:sz="0" w:space="0" w:color="auto"/>
      </w:divBdr>
    </w:div>
    <w:div w:id="595600848">
      <w:bodyDiv w:val="1"/>
      <w:marLeft w:val="0"/>
      <w:marRight w:val="0"/>
      <w:marTop w:val="0"/>
      <w:marBottom w:val="0"/>
      <w:divBdr>
        <w:top w:val="none" w:sz="0" w:space="0" w:color="auto"/>
        <w:left w:val="none" w:sz="0" w:space="0" w:color="auto"/>
        <w:bottom w:val="none" w:sz="0" w:space="0" w:color="auto"/>
        <w:right w:val="none" w:sz="0" w:space="0" w:color="auto"/>
      </w:divBdr>
    </w:div>
    <w:div w:id="713503690">
      <w:bodyDiv w:val="1"/>
      <w:marLeft w:val="0"/>
      <w:marRight w:val="0"/>
      <w:marTop w:val="0"/>
      <w:marBottom w:val="0"/>
      <w:divBdr>
        <w:top w:val="none" w:sz="0" w:space="0" w:color="auto"/>
        <w:left w:val="none" w:sz="0" w:space="0" w:color="auto"/>
        <w:bottom w:val="none" w:sz="0" w:space="0" w:color="auto"/>
        <w:right w:val="none" w:sz="0" w:space="0" w:color="auto"/>
      </w:divBdr>
    </w:div>
    <w:div w:id="732848686">
      <w:bodyDiv w:val="1"/>
      <w:marLeft w:val="0"/>
      <w:marRight w:val="0"/>
      <w:marTop w:val="0"/>
      <w:marBottom w:val="0"/>
      <w:divBdr>
        <w:top w:val="none" w:sz="0" w:space="0" w:color="auto"/>
        <w:left w:val="none" w:sz="0" w:space="0" w:color="auto"/>
        <w:bottom w:val="none" w:sz="0" w:space="0" w:color="auto"/>
        <w:right w:val="none" w:sz="0" w:space="0" w:color="auto"/>
      </w:divBdr>
    </w:div>
    <w:div w:id="749160875">
      <w:bodyDiv w:val="1"/>
      <w:marLeft w:val="0"/>
      <w:marRight w:val="0"/>
      <w:marTop w:val="0"/>
      <w:marBottom w:val="0"/>
      <w:divBdr>
        <w:top w:val="none" w:sz="0" w:space="0" w:color="auto"/>
        <w:left w:val="none" w:sz="0" w:space="0" w:color="auto"/>
        <w:bottom w:val="none" w:sz="0" w:space="0" w:color="auto"/>
        <w:right w:val="none" w:sz="0" w:space="0" w:color="auto"/>
      </w:divBdr>
    </w:div>
    <w:div w:id="888997876">
      <w:bodyDiv w:val="1"/>
      <w:marLeft w:val="0"/>
      <w:marRight w:val="0"/>
      <w:marTop w:val="0"/>
      <w:marBottom w:val="0"/>
      <w:divBdr>
        <w:top w:val="none" w:sz="0" w:space="0" w:color="auto"/>
        <w:left w:val="none" w:sz="0" w:space="0" w:color="auto"/>
        <w:bottom w:val="none" w:sz="0" w:space="0" w:color="auto"/>
        <w:right w:val="none" w:sz="0" w:space="0" w:color="auto"/>
      </w:divBdr>
    </w:div>
    <w:div w:id="921380151">
      <w:bodyDiv w:val="1"/>
      <w:marLeft w:val="0"/>
      <w:marRight w:val="0"/>
      <w:marTop w:val="0"/>
      <w:marBottom w:val="0"/>
      <w:divBdr>
        <w:top w:val="none" w:sz="0" w:space="0" w:color="auto"/>
        <w:left w:val="none" w:sz="0" w:space="0" w:color="auto"/>
        <w:bottom w:val="none" w:sz="0" w:space="0" w:color="auto"/>
        <w:right w:val="none" w:sz="0" w:space="0" w:color="auto"/>
      </w:divBdr>
    </w:div>
    <w:div w:id="974525092">
      <w:bodyDiv w:val="1"/>
      <w:marLeft w:val="0"/>
      <w:marRight w:val="0"/>
      <w:marTop w:val="0"/>
      <w:marBottom w:val="0"/>
      <w:divBdr>
        <w:top w:val="none" w:sz="0" w:space="0" w:color="auto"/>
        <w:left w:val="none" w:sz="0" w:space="0" w:color="auto"/>
        <w:bottom w:val="none" w:sz="0" w:space="0" w:color="auto"/>
        <w:right w:val="none" w:sz="0" w:space="0" w:color="auto"/>
      </w:divBdr>
    </w:div>
    <w:div w:id="1107701766">
      <w:bodyDiv w:val="1"/>
      <w:marLeft w:val="0"/>
      <w:marRight w:val="0"/>
      <w:marTop w:val="0"/>
      <w:marBottom w:val="0"/>
      <w:divBdr>
        <w:top w:val="none" w:sz="0" w:space="0" w:color="auto"/>
        <w:left w:val="none" w:sz="0" w:space="0" w:color="auto"/>
        <w:bottom w:val="none" w:sz="0" w:space="0" w:color="auto"/>
        <w:right w:val="none" w:sz="0" w:space="0" w:color="auto"/>
      </w:divBdr>
    </w:div>
    <w:div w:id="1188181177">
      <w:bodyDiv w:val="1"/>
      <w:marLeft w:val="0"/>
      <w:marRight w:val="0"/>
      <w:marTop w:val="0"/>
      <w:marBottom w:val="0"/>
      <w:divBdr>
        <w:top w:val="none" w:sz="0" w:space="0" w:color="auto"/>
        <w:left w:val="none" w:sz="0" w:space="0" w:color="auto"/>
        <w:bottom w:val="none" w:sz="0" w:space="0" w:color="auto"/>
        <w:right w:val="none" w:sz="0" w:space="0" w:color="auto"/>
      </w:divBdr>
    </w:div>
    <w:div w:id="1227375802">
      <w:bodyDiv w:val="1"/>
      <w:marLeft w:val="0"/>
      <w:marRight w:val="0"/>
      <w:marTop w:val="0"/>
      <w:marBottom w:val="0"/>
      <w:divBdr>
        <w:top w:val="none" w:sz="0" w:space="0" w:color="auto"/>
        <w:left w:val="none" w:sz="0" w:space="0" w:color="auto"/>
        <w:bottom w:val="none" w:sz="0" w:space="0" w:color="auto"/>
        <w:right w:val="none" w:sz="0" w:space="0" w:color="auto"/>
      </w:divBdr>
    </w:div>
    <w:div w:id="1246644002">
      <w:bodyDiv w:val="1"/>
      <w:marLeft w:val="0"/>
      <w:marRight w:val="0"/>
      <w:marTop w:val="0"/>
      <w:marBottom w:val="0"/>
      <w:divBdr>
        <w:top w:val="none" w:sz="0" w:space="0" w:color="auto"/>
        <w:left w:val="none" w:sz="0" w:space="0" w:color="auto"/>
        <w:bottom w:val="none" w:sz="0" w:space="0" w:color="auto"/>
        <w:right w:val="none" w:sz="0" w:space="0" w:color="auto"/>
      </w:divBdr>
    </w:div>
    <w:div w:id="1277297555">
      <w:bodyDiv w:val="1"/>
      <w:marLeft w:val="0"/>
      <w:marRight w:val="0"/>
      <w:marTop w:val="0"/>
      <w:marBottom w:val="0"/>
      <w:divBdr>
        <w:top w:val="none" w:sz="0" w:space="0" w:color="auto"/>
        <w:left w:val="none" w:sz="0" w:space="0" w:color="auto"/>
        <w:bottom w:val="none" w:sz="0" w:space="0" w:color="auto"/>
        <w:right w:val="none" w:sz="0" w:space="0" w:color="auto"/>
      </w:divBdr>
    </w:div>
    <w:div w:id="1285691106">
      <w:bodyDiv w:val="1"/>
      <w:marLeft w:val="0"/>
      <w:marRight w:val="0"/>
      <w:marTop w:val="0"/>
      <w:marBottom w:val="0"/>
      <w:divBdr>
        <w:top w:val="none" w:sz="0" w:space="0" w:color="auto"/>
        <w:left w:val="none" w:sz="0" w:space="0" w:color="auto"/>
        <w:bottom w:val="none" w:sz="0" w:space="0" w:color="auto"/>
        <w:right w:val="none" w:sz="0" w:space="0" w:color="auto"/>
      </w:divBdr>
    </w:div>
    <w:div w:id="1315061347">
      <w:bodyDiv w:val="1"/>
      <w:marLeft w:val="0"/>
      <w:marRight w:val="0"/>
      <w:marTop w:val="0"/>
      <w:marBottom w:val="0"/>
      <w:divBdr>
        <w:top w:val="none" w:sz="0" w:space="0" w:color="auto"/>
        <w:left w:val="none" w:sz="0" w:space="0" w:color="auto"/>
        <w:bottom w:val="none" w:sz="0" w:space="0" w:color="auto"/>
        <w:right w:val="none" w:sz="0" w:space="0" w:color="auto"/>
      </w:divBdr>
    </w:div>
    <w:div w:id="1324511599">
      <w:bodyDiv w:val="1"/>
      <w:marLeft w:val="0"/>
      <w:marRight w:val="0"/>
      <w:marTop w:val="0"/>
      <w:marBottom w:val="0"/>
      <w:divBdr>
        <w:top w:val="none" w:sz="0" w:space="0" w:color="auto"/>
        <w:left w:val="none" w:sz="0" w:space="0" w:color="auto"/>
        <w:bottom w:val="none" w:sz="0" w:space="0" w:color="auto"/>
        <w:right w:val="none" w:sz="0" w:space="0" w:color="auto"/>
      </w:divBdr>
    </w:div>
    <w:div w:id="1406797410">
      <w:bodyDiv w:val="1"/>
      <w:marLeft w:val="0"/>
      <w:marRight w:val="0"/>
      <w:marTop w:val="0"/>
      <w:marBottom w:val="0"/>
      <w:divBdr>
        <w:top w:val="none" w:sz="0" w:space="0" w:color="auto"/>
        <w:left w:val="none" w:sz="0" w:space="0" w:color="auto"/>
        <w:bottom w:val="none" w:sz="0" w:space="0" w:color="auto"/>
        <w:right w:val="none" w:sz="0" w:space="0" w:color="auto"/>
      </w:divBdr>
    </w:div>
    <w:div w:id="1668895682">
      <w:bodyDiv w:val="1"/>
      <w:marLeft w:val="0"/>
      <w:marRight w:val="0"/>
      <w:marTop w:val="0"/>
      <w:marBottom w:val="0"/>
      <w:divBdr>
        <w:top w:val="none" w:sz="0" w:space="0" w:color="auto"/>
        <w:left w:val="none" w:sz="0" w:space="0" w:color="auto"/>
        <w:bottom w:val="none" w:sz="0" w:space="0" w:color="auto"/>
        <w:right w:val="none" w:sz="0" w:space="0" w:color="auto"/>
      </w:divBdr>
    </w:div>
    <w:div w:id="1951473497">
      <w:bodyDiv w:val="1"/>
      <w:marLeft w:val="0"/>
      <w:marRight w:val="0"/>
      <w:marTop w:val="0"/>
      <w:marBottom w:val="0"/>
      <w:divBdr>
        <w:top w:val="none" w:sz="0" w:space="0" w:color="auto"/>
        <w:left w:val="none" w:sz="0" w:space="0" w:color="auto"/>
        <w:bottom w:val="none" w:sz="0" w:space="0" w:color="auto"/>
        <w:right w:val="none" w:sz="0" w:space="0" w:color="auto"/>
      </w:divBdr>
    </w:div>
    <w:div w:id="1952542563">
      <w:bodyDiv w:val="1"/>
      <w:marLeft w:val="0"/>
      <w:marRight w:val="0"/>
      <w:marTop w:val="0"/>
      <w:marBottom w:val="0"/>
      <w:divBdr>
        <w:top w:val="none" w:sz="0" w:space="0" w:color="auto"/>
        <w:left w:val="none" w:sz="0" w:space="0" w:color="auto"/>
        <w:bottom w:val="none" w:sz="0" w:space="0" w:color="auto"/>
        <w:right w:val="none" w:sz="0" w:space="0" w:color="auto"/>
      </w:divBdr>
    </w:div>
    <w:div w:id="1995603573">
      <w:bodyDiv w:val="1"/>
      <w:marLeft w:val="0"/>
      <w:marRight w:val="0"/>
      <w:marTop w:val="0"/>
      <w:marBottom w:val="0"/>
      <w:divBdr>
        <w:top w:val="none" w:sz="0" w:space="0" w:color="auto"/>
        <w:left w:val="none" w:sz="0" w:space="0" w:color="auto"/>
        <w:bottom w:val="none" w:sz="0" w:space="0" w:color="auto"/>
        <w:right w:val="none" w:sz="0" w:space="0" w:color="auto"/>
      </w:divBdr>
    </w:div>
    <w:div w:id="20357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ur-lex.europa.eu/legal-content/EL/TXT/PDF/?uri=CELEX:32016R1013&amp;from=E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ur-lex.europa.eu/legal-content/EL/TXT/PDF/?uri=CELEX:32010R1227&amp;from=EN" TargetMode="External"/><Relationship Id="rId2" Type="http://schemas.openxmlformats.org/officeDocument/2006/relationships/customXml" Target="../customXml/item2.xml"/><Relationship Id="rId16" Type="http://schemas.openxmlformats.org/officeDocument/2006/relationships/hyperlink" Target="https://eur-lex.europa.eu/legal-content/EL/TXT/PDF/?uri=CELEX:02008R1055-20110110&amp;from=G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04a223b7-21c1-47ef-a883-c96771fdc54c</CEID>
    <ParentEntity xmlns="8e878111-5d44-4ac0-8d7d-001e9b3d0fd0" xsi:nil="true"/>
    <TitleEn xmlns="a029a951-197a-4454-90a0-4e8ba8bb2239" xsi:nil="true"/>
    <ItemOrder xmlns="a029a951-197a-4454-90a0-4e8ba8bb2239" xsi:nil="true"/>
    <DisplayTitle xmlns="8e878111-5d44-4ac0-8d7d-001e9b3d0fd0" xsi:nil="true"/>
    <ContentDate xmlns="a029a951-197a-4454-90a0-4e8ba8bb2239">2021-05-04T21:00:00+00:00</ContentDate>
    <OrganizationalUnit xmlns="8e878111-5d44-4ac0-8d7d-001e9b3d0fd0">32</OrganizationalUnit>
    <ShowInContentGroups xmlns="a029a951-197a-4454-90a0-4e8ba8bb2239"/>
    <Topic xmlns="8e878111-5d44-4ac0-8d7d-001e9b3d0fd0" xsi:nil="true"/>
    <Source xmlns="8e878111-5d44-4ac0-8d7d-001e9b3d0fd0" xsi:nil="true"/>
    <AModifiedBy xmlns="a029a951-197a-4454-90a0-4e8ba8bb2239">Stylos Alexandros</AModifiedBy>
    <AModified xmlns="a029a951-197a-4454-90a0-4e8ba8bb2239">2021-05-05T13:57:30+00:00</AModified>
    <AID xmlns="a029a951-197a-4454-90a0-4e8ba8bb2239">19241</AID>
    <ACreated xmlns="a029a951-197a-4454-90a0-4e8ba8bb2239">2021-05-05T13:55:32+00:00</ACreated>
    <ACreatedBy xmlns="a029a951-197a-4454-90a0-4e8ba8bb2239">Stylos Alexandros</ACreatedBy>
    <AVersion xmlns="a029a951-197a-4454-90a0-4e8ba8bb2239">2.0</AVersion>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8B661E-BA42-4085-9E32-DC40F60A01FD}">
  <ds:schemaRefs>
    <ds:schemaRef ds:uri="http://schemas.openxmlformats.org/officeDocument/2006/bibliography"/>
  </ds:schemaRefs>
</ds:datastoreItem>
</file>

<file path=customXml/itemProps3.xml><?xml version="1.0" encoding="utf-8"?>
<ds:datastoreItem xmlns:ds="http://schemas.openxmlformats.org/officeDocument/2006/customXml" ds:itemID="{4386B95B-86EE-44A8-AA13-8AB2F09DE32F}"/>
</file>

<file path=customXml/itemProps4.xml><?xml version="1.0" encoding="utf-8"?>
<ds:datastoreItem xmlns:ds="http://schemas.openxmlformats.org/officeDocument/2006/customXml" ds:itemID="{68EE62BA-5299-4180-8FF0-3ED03A86CC1B}"/>
</file>

<file path=customXml/itemProps5.xml><?xml version="1.0" encoding="utf-8"?>
<ds:datastoreItem xmlns:ds="http://schemas.openxmlformats.org/officeDocument/2006/customXml" ds:itemID="{4CC37ED9-C338-4C2D-A0CA-B4AAD7FFE5AC}"/>
</file>

<file path=docProps/app.xml><?xml version="1.0" encoding="utf-8"?>
<Properties xmlns="http://schemas.openxmlformats.org/officeDocument/2006/extended-properties" xmlns:vt="http://schemas.openxmlformats.org/officeDocument/2006/docPropsVTypes">
  <Template>Normal</Template>
  <TotalTime>3</TotalTime>
  <Pages>9</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Συνοπτικές Πληροφορίες</vt:lpstr>
    </vt:vector>
  </TitlesOfParts>
  <Company>Bank of Greece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Συνοπτικές Πληροφορίες</dc:title>
  <dc:subject>ΕΤΗΣΙΑ ΕΡΕΥΕΝΑ ΞΕΝΩΝ ΑΜΕΣΩΝ ΕΠΕΝΔΥΣΕΩΝ</dc:subject>
  <dc:creator>Charitakis Nikolaos</dc:creator>
  <dc:description/>
  <cp:lastModifiedBy>Stylos Alexandros</cp:lastModifiedBy>
  <cp:revision>5</cp:revision>
  <cp:lastPrinted>2020-03-13T12:48:00Z</cp:lastPrinted>
  <dcterms:created xsi:type="dcterms:W3CDTF">2021-04-16T10:35:00Z</dcterms:created>
  <dcterms:modified xsi:type="dcterms:W3CDTF">2021-05-05T10:49:00Z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1924100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