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7E3B77" w:rsidRPr="00B07B4C" w14:paraId="7D14D61D" w14:textId="77777777" w:rsidTr="00D83BB4">
        <w:trPr>
          <w:trHeight w:val="1757"/>
        </w:trPr>
        <w:tc>
          <w:tcPr>
            <w:tcW w:w="3369" w:type="dxa"/>
            <w:tcBorders>
              <w:left w:val="single" w:sz="48" w:space="0" w:color="BC9E6E"/>
            </w:tcBorders>
            <w:vAlign w:val="center"/>
          </w:tcPr>
          <w:p w14:paraId="7385D288" w14:textId="12545154" w:rsidR="007E3B77" w:rsidRPr="00261EA7" w:rsidRDefault="009C496C" w:rsidP="00261EA7">
            <w:pPr>
              <w:pStyle w:val="NormalWeb"/>
            </w:pPr>
            <w:r>
              <w:rPr>
                <w:noProof/>
              </w:rPr>
              <w:drawing>
                <wp:inline distT="0" distB="0" distL="0" distR="0" wp14:anchorId="430E332A" wp14:editId="688E5F8D">
                  <wp:extent cx="1397174" cy="9677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450" b="14286"/>
                          <a:stretch>
                            <a:fillRect/>
                          </a:stretch>
                        </pic:blipFill>
                        <pic:spPr bwMode="auto">
                          <a:xfrm>
                            <a:off x="0" y="0"/>
                            <a:ext cx="1402420" cy="9713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17" w:type="dxa"/>
          </w:tcPr>
          <w:p w14:paraId="6FEAB3FF" w14:textId="77777777" w:rsidR="007E3B77" w:rsidRDefault="007E3B77" w:rsidP="00C470F4">
            <w:pPr>
              <w:pStyle w:val="Heading1"/>
              <w:rPr>
                <w:b/>
                <w:i w:val="0"/>
                <w:noProof/>
                <w:sz w:val="32"/>
                <w:szCs w:val="22"/>
                <w:u w:val="none"/>
                <w:lang w:eastAsia="en-GB"/>
              </w:rPr>
            </w:pPr>
          </w:p>
          <w:p w14:paraId="2A72E291" w14:textId="77777777" w:rsidR="00773AD8" w:rsidRPr="00773AD8" w:rsidRDefault="00773AD8" w:rsidP="00C470F4">
            <w:pPr>
              <w:pStyle w:val="Heading1"/>
              <w:ind w:firstLine="0"/>
              <w:jc w:val="right"/>
              <w:rPr>
                <w:b/>
                <w:i w:val="0"/>
                <w:noProof/>
                <w:color w:val="00205B"/>
                <w:sz w:val="28"/>
                <w:szCs w:val="22"/>
                <w:u w:val="none"/>
              </w:rPr>
            </w:pPr>
            <w:r>
              <w:rPr>
                <w:b/>
                <w:i w:val="0"/>
                <w:color w:val="00205B"/>
                <w:sz w:val="28"/>
                <w:u w:val="none"/>
              </w:rPr>
              <w:t xml:space="preserve">Answers to Frequently Asked Questions </w:t>
            </w:r>
          </w:p>
          <w:p w14:paraId="49FCAA0F" w14:textId="66E84968" w:rsidR="007E3B77" w:rsidRPr="001441FC" w:rsidRDefault="007E3B77" w:rsidP="00C470F4">
            <w:pPr>
              <w:pStyle w:val="Heading1"/>
              <w:ind w:firstLine="0"/>
              <w:jc w:val="right"/>
              <w:rPr>
                <w:i w:val="0"/>
                <w:noProof/>
                <w:szCs w:val="22"/>
                <w:u w:val="none"/>
              </w:rPr>
            </w:pPr>
            <w:r>
              <w:rPr>
                <w:i w:val="0"/>
                <w:color w:val="00205B"/>
                <w:u w:val="none"/>
              </w:rPr>
              <w:t>Athens, 2</w:t>
            </w:r>
            <w:r w:rsidR="00910180" w:rsidRPr="00656024">
              <w:rPr>
                <w:i w:val="0"/>
                <w:color w:val="00205B"/>
                <w:u w:val="none"/>
                <w:lang w:val="en-US"/>
              </w:rPr>
              <w:t>3</w:t>
            </w:r>
            <w:r>
              <w:rPr>
                <w:i w:val="0"/>
                <w:color w:val="00205B"/>
                <w:u w:val="none"/>
              </w:rPr>
              <w:t xml:space="preserve"> January 2026</w:t>
            </w:r>
          </w:p>
        </w:tc>
      </w:tr>
    </w:tbl>
    <w:p w14:paraId="2367207B" w14:textId="77777777" w:rsidR="007E3B77" w:rsidRDefault="007E3B77" w:rsidP="00C470F4">
      <w:pPr>
        <w:pStyle w:val="Heading1"/>
        <w:ind w:firstLine="0"/>
        <w:rPr>
          <w:i w:val="0"/>
          <w:noProof/>
          <w:szCs w:val="22"/>
          <w:u w:val="none"/>
          <w:lang w:eastAsia="en-GB"/>
        </w:rPr>
      </w:pPr>
    </w:p>
    <w:p w14:paraId="4655D198" w14:textId="77777777" w:rsidR="007E3B77" w:rsidRPr="009C496C" w:rsidRDefault="007E3B77" w:rsidP="00C470F4">
      <w:pPr>
        <w:spacing w:line="360" w:lineRule="auto"/>
        <w:jc w:val="both"/>
        <w:rPr>
          <w:lang w:val="en-US" w:eastAsia="en-GB"/>
        </w:rPr>
      </w:pPr>
    </w:p>
    <w:p w14:paraId="655695EC" w14:textId="201A8A3A" w:rsidR="007E3B77" w:rsidRPr="004F0E8A" w:rsidRDefault="001441FC" w:rsidP="00C470F4">
      <w:pPr>
        <w:pStyle w:val="Heading6"/>
        <w:tabs>
          <w:tab w:val="left" w:pos="4680"/>
          <w:tab w:val="left" w:pos="8100"/>
        </w:tabs>
        <w:spacing w:after="120"/>
        <w:ind w:left="0" w:right="-2"/>
        <w:rPr>
          <w:b/>
          <w:i w:val="0"/>
          <w:color w:val="00205B"/>
          <w:sz w:val="32"/>
          <w:szCs w:val="32"/>
        </w:rPr>
      </w:pPr>
      <w:r>
        <w:rPr>
          <w:b/>
          <w:i w:val="0"/>
          <w:color w:val="00205B"/>
          <w:sz w:val="32"/>
        </w:rPr>
        <w:t>Central Credit Register (CCR) – Answers to Frequently Asked Questions</w:t>
      </w:r>
    </w:p>
    <w:p w14:paraId="45C2798B" w14:textId="77777777" w:rsidR="007E3B77" w:rsidRPr="009C496C" w:rsidRDefault="007E3B77" w:rsidP="00C470F4">
      <w:pPr>
        <w:spacing w:line="360" w:lineRule="auto"/>
        <w:jc w:val="both"/>
        <w:rPr>
          <w:lang w:val="en-US"/>
        </w:rPr>
      </w:pPr>
    </w:p>
    <w:p w14:paraId="0D53C8A0" w14:textId="406B7293" w:rsidR="00773AD8" w:rsidRPr="00C470F4" w:rsidRDefault="00773AD8" w:rsidP="00C470F4">
      <w:pPr>
        <w:spacing w:line="360" w:lineRule="auto"/>
        <w:jc w:val="both"/>
        <w:rPr>
          <w:sz w:val="22"/>
          <w:szCs w:val="22"/>
          <w:u w:val="single"/>
        </w:rPr>
      </w:pPr>
      <w:r>
        <w:rPr>
          <w:b/>
          <w:sz w:val="22"/>
        </w:rPr>
        <w:t xml:space="preserve">Question 1. </w:t>
      </w:r>
      <w:r>
        <w:rPr>
          <w:sz w:val="22"/>
          <w:u w:val="single"/>
        </w:rPr>
        <w:t xml:space="preserve">Does the Bank of Greece rate citizens </w:t>
      </w:r>
      <w:r w:rsidR="00B014F3">
        <w:rPr>
          <w:sz w:val="22"/>
          <w:u w:val="single"/>
        </w:rPr>
        <w:t xml:space="preserve">through </w:t>
      </w:r>
      <w:r>
        <w:rPr>
          <w:sz w:val="22"/>
          <w:u w:val="single"/>
        </w:rPr>
        <w:t>the CCR?</w:t>
      </w:r>
    </w:p>
    <w:p w14:paraId="62445107" w14:textId="2FBE75CC" w:rsidR="00773AD8" w:rsidRPr="00C470F4" w:rsidRDefault="00773AD8" w:rsidP="00C470F4">
      <w:pPr>
        <w:spacing w:line="360" w:lineRule="auto"/>
        <w:jc w:val="both"/>
        <w:rPr>
          <w:sz w:val="22"/>
          <w:szCs w:val="22"/>
        </w:rPr>
      </w:pPr>
      <w:r>
        <w:rPr>
          <w:b/>
          <w:sz w:val="22"/>
        </w:rPr>
        <w:t xml:space="preserve">Answer: </w:t>
      </w:r>
      <w:r>
        <w:rPr>
          <w:sz w:val="22"/>
        </w:rPr>
        <w:t xml:space="preserve">No, it doesn't. The CCR </w:t>
      </w:r>
      <w:r>
        <w:rPr>
          <w:b/>
          <w:sz w:val="22"/>
        </w:rPr>
        <w:t>does not</w:t>
      </w:r>
      <w:r>
        <w:rPr>
          <w:sz w:val="22"/>
        </w:rPr>
        <w:t xml:space="preserve"> issue </w:t>
      </w:r>
      <w:r w:rsidR="00B014F3">
        <w:rPr>
          <w:sz w:val="22"/>
        </w:rPr>
        <w:t xml:space="preserve">scores </w:t>
      </w:r>
      <w:r>
        <w:rPr>
          <w:sz w:val="22"/>
        </w:rPr>
        <w:t xml:space="preserve">and </w:t>
      </w:r>
      <w:r>
        <w:rPr>
          <w:b/>
          <w:sz w:val="22"/>
        </w:rPr>
        <w:t>does not</w:t>
      </w:r>
      <w:r>
        <w:rPr>
          <w:sz w:val="22"/>
        </w:rPr>
        <w:t xml:space="preserve"> </w:t>
      </w:r>
      <w:r w:rsidR="00670423">
        <w:rPr>
          <w:sz w:val="22"/>
          <w:lang w:val="en-US"/>
        </w:rPr>
        <w:t>rate</w:t>
      </w:r>
      <w:r w:rsidR="00670423">
        <w:rPr>
          <w:sz w:val="22"/>
        </w:rPr>
        <w:t xml:space="preserve"> </w:t>
      </w:r>
      <w:r>
        <w:rPr>
          <w:sz w:val="22"/>
        </w:rPr>
        <w:t xml:space="preserve">citizens’ payment behaviour. It only collects and maintains the data submitted by </w:t>
      </w:r>
      <w:r w:rsidR="00A53C9E">
        <w:rPr>
          <w:sz w:val="22"/>
        </w:rPr>
        <w:t>lenders</w:t>
      </w:r>
      <w:r>
        <w:rPr>
          <w:sz w:val="22"/>
        </w:rPr>
        <w:t>.</w:t>
      </w:r>
    </w:p>
    <w:p w14:paraId="71E56E81" w14:textId="3BE1A3D9" w:rsidR="00773AD8" w:rsidRPr="00DF173B" w:rsidRDefault="00773AD8" w:rsidP="00C470F4">
      <w:pPr>
        <w:spacing w:line="360" w:lineRule="auto"/>
        <w:jc w:val="both"/>
        <w:rPr>
          <w:sz w:val="22"/>
          <w:szCs w:val="22"/>
        </w:rPr>
      </w:pPr>
    </w:p>
    <w:p w14:paraId="09CD3976" w14:textId="7C4D4630" w:rsidR="00773AD8" w:rsidRPr="00C470F4" w:rsidRDefault="00773AD8" w:rsidP="00C470F4">
      <w:pPr>
        <w:spacing w:line="360" w:lineRule="auto"/>
        <w:jc w:val="both"/>
        <w:rPr>
          <w:b/>
          <w:bCs/>
          <w:sz w:val="22"/>
          <w:szCs w:val="22"/>
        </w:rPr>
      </w:pPr>
      <w:r>
        <w:rPr>
          <w:b/>
          <w:sz w:val="22"/>
        </w:rPr>
        <w:t xml:space="preserve">Question 2. </w:t>
      </w:r>
      <w:r>
        <w:rPr>
          <w:sz w:val="22"/>
          <w:u w:val="single"/>
        </w:rPr>
        <w:t>Is the CCR a “new Tiresias”?</w:t>
      </w:r>
    </w:p>
    <w:p w14:paraId="14E1C0BD" w14:textId="2E1A3BE9" w:rsidR="00B554FD" w:rsidRPr="00B554FD" w:rsidRDefault="00773AD8" w:rsidP="00B554FD">
      <w:pPr>
        <w:spacing w:line="360" w:lineRule="auto"/>
        <w:jc w:val="both"/>
        <w:rPr>
          <w:sz w:val="22"/>
          <w:szCs w:val="22"/>
        </w:rPr>
      </w:pPr>
      <w:r>
        <w:rPr>
          <w:b/>
          <w:sz w:val="22"/>
        </w:rPr>
        <w:t xml:space="preserve">Answer: </w:t>
      </w:r>
      <w:r>
        <w:rPr>
          <w:sz w:val="22"/>
        </w:rPr>
        <w:t xml:space="preserve">No, it isn’t. </w:t>
      </w:r>
      <w:bookmarkStart w:id="0" w:name="_Hlk220060321"/>
      <w:r>
        <w:rPr>
          <w:sz w:val="22"/>
        </w:rPr>
        <w:t xml:space="preserve">The CCR is </w:t>
      </w:r>
      <w:r>
        <w:rPr>
          <w:b/>
          <w:sz w:val="22"/>
        </w:rPr>
        <w:t>not</w:t>
      </w:r>
      <w:r>
        <w:rPr>
          <w:sz w:val="22"/>
        </w:rPr>
        <w:t xml:space="preserve"> a private Credit Bureau (CB) such as TIRESIAS S.A. It does not provide notifications, </w:t>
      </w:r>
      <w:r w:rsidR="00521189">
        <w:rPr>
          <w:sz w:val="22"/>
        </w:rPr>
        <w:t xml:space="preserve">credit </w:t>
      </w:r>
      <w:r>
        <w:rPr>
          <w:sz w:val="22"/>
        </w:rPr>
        <w:t>assessments or decisions. The role of CBs is usually complementary to a CCR. Also, the information provided by the CCR is free of charge.</w:t>
      </w:r>
      <w:bookmarkEnd w:id="0"/>
    </w:p>
    <w:p w14:paraId="347BD5EB" w14:textId="6B1BCFEA" w:rsidR="00773AD8" w:rsidRPr="009C496C" w:rsidRDefault="00773AD8" w:rsidP="00C470F4">
      <w:pPr>
        <w:spacing w:line="360" w:lineRule="auto"/>
        <w:jc w:val="both"/>
        <w:rPr>
          <w:sz w:val="22"/>
          <w:szCs w:val="22"/>
          <w:lang w:val="en-US"/>
        </w:rPr>
      </w:pPr>
    </w:p>
    <w:p w14:paraId="0DCA5B49" w14:textId="010597D5" w:rsidR="00773AD8" w:rsidRPr="00C470F4" w:rsidRDefault="00773AD8" w:rsidP="00C470F4">
      <w:pPr>
        <w:spacing w:line="360" w:lineRule="auto"/>
        <w:jc w:val="both"/>
        <w:rPr>
          <w:sz w:val="22"/>
          <w:szCs w:val="22"/>
          <w:u w:val="single"/>
        </w:rPr>
      </w:pPr>
      <w:r>
        <w:rPr>
          <w:b/>
          <w:sz w:val="22"/>
        </w:rPr>
        <w:t xml:space="preserve">Question 3. </w:t>
      </w:r>
      <w:r>
        <w:rPr>
          <w:sz w:val="22"/>
          <w:u w:val="single"/>
        </w:rPr>
        <w:t>Who has access to my data?</w:t>
      </w:r>
    </w:p>
    <w:p w14:paraId="271CBADD" w14:textId="738471D5" w:rsidR="00773AD8" w:rsidRPr="00C470F4" w:rsidRDefault="00773AD8" w:rsidP="00C470F4">
      <w:pPr>
        <w:spacing w:line="360" w:lineRule="auto"/>
        <w:jc w:val="both"/>
        <w:rPr>
          <w:sz w:val="22"/>
          <w:szCs w:val="22"/>
        </w:rPr>
      </w:pPr>
      <w:r>
        <w:rPr>
          <w:b/>
          <w:sz w:val="22"/>
        </w:rPr>
        <w:t xml:space="preserve">Answer: </w:t>
      </w:r>
      <w:r>
        <w:rPr>
          <w:sz w:val="22"/>
        </w:rPr>
        <w:t xml:space="preserve">Only you and your </w:t>
      </w:r>
      <w:r w:rsidR="00A53C9E">
        <w:rPr>
          <w:sz w:val="22"/>
        </w:rPr>
        <w:t xml:space="preserve">lender </w:t>
      </w:r>
      <w:r>
        <w:rPr>
          <w:sz w:val="22"/>
        </w:rPr>
        <w:t xml:space="preserve">have access, </w:t>
      </w:r>
      <w:r w:rsidR="00521189" w:rsidRPr="00521189">
        <w:rPr>
          <w:sz w:val="22"/>
        </w:rPr>
        <w:t xml:space="preserve">for a lawful </w:t>
      </w:r>
      <w:r>
        <w:rPr>
          <w:sz w:val="22"/>
        </w:rPr>
        <w:t>purpose.</w:t>
      </w:r>
    </w:p>
    <w:p w14:paraId="143984BB" w14:textId="57C0BAC1" w:rsidR="00773AD8" w:rsidRPr="00C470F4" w:rsidRDefault="00773AD8" w:rsidP="00C470F4">
      <w:pPr>
        <w:spacing w:line="360" w:lineRule="auto"/>
        <w:jc w:val="both"/>
        <w:rPr>
          <w:sz w:val="22"/>
          <w:szCs w:val="22"/>
        </w:rPr>
      </w:pPr>
      <w:r>
        <w:rPr>
          <w:sz w:val="22"/>
        </w:rPr>
        <w:t xml:space="preserve">The following entities also have access: </w:t>
      </w:r>
    </w:p>
    <w:p w14:paraId="7DA5C89B" w14:textId="3B0FE9E5" w:rsidR="00773AD8" w:rsidRPr="00C470F4" w:rsidRDefault="00773AD8" w:rsidP="00C470F4">
      <w:pPr>
        <w:numPr>
          <w:ilvl w:val="0"/>
          <w:numId w:val="11"/>
        </w:numPr>
        <w:spacing w:line="360" w:lineRule="auto"/>
        <w:jc w:val="both"/>
        <w:rPr>
          <w:sz w:val="22"/>
          <w:szCs w:val="22"/>
        </w:rPr>
      </w:pPr>
      <w:r>
        <w:rPr>
          <w:sz w:val="22"/>
        </w:rPr>
        <w:t xml:space="preserve">specific organisations of the Greek State </w:t>
      </w:r>
      <w:r w:rsidR="008E2812">
        <w:rPr>
          <w:sz w:val="22"/>
        </w:rPr>
        <w:t xml:space="preserve">for the purposes of performing their </w:t>
      </w:r>
      <w:r>
        <w:rPr>
          <w:sz w:val="22"/>
        </w:rPr>
        <w:t>tasks;</w:t>
      </w:r>
    </w:p>
    <w:p w14:paraId="5C0DD7DF" w14:textId="6C8CD739" w:rsidR="00773AD8" w:rsidRPr="00C470F4" w:rsidRDefault="00773AD8" w:rsidP="00C470F4">
      <w:pPr>
        <w:numPr>
          <w:ilvl w:val="0"/>
          <w:numId w:val="11"/>
        </w:numPr>
        <w:spacing w:line="360" w:lineRule="auto"/>
        <w:jc w:val="both"/>
        <w:rPr>
          <w:sz w:val="22"/>
          <w:szCs w:val="22"/>
        </w:rPr>
      </w:pPr>
      <w:r>
        <w:rPr>
          <w:sz w:val="22"/>
        </w:rPr>
        <w:t xml:space="preserve">the Bank of Greece and the </w:t>
      </w:r>
      <w:r w:rsidR="008E2812">
        <w:rPr>
          <w:sz w:val="22"/>
        </w:rPr>
        <w:t>European Central Bank (</w:t>
      </w:r>
      <w:r>
        <w:rPr>
          <w:sz w:val="22"/>
        </w:rPr>
        <w:t>ECB</w:t>
      </w:r>
      <w:r w:rsidR="008E2812">
        <w:rPr>
          <w:sz w:val="22"/>
        </w:rPr>
        <w:t>)</w:t>
      </w:r>
      <w:r>
        <w:rPr>
          <w:sz w:val="22"/>
        </w:rPr>
        <w:t>, to the extent necessary</w:t>
      </w:r>
      <w:r w:rsidR="00E44E15">
        <w:rPr>
          <w:sz w:val="22"/>
        </w:rPr>
        <w:t xml:space="preserve"> for the performance of </w:t>
      </w:r>
      <w:r>
        <w:rPr>
          <w:sz w:val="22"/>
        </w:rPr>
        <w:t>their tasks.</w:t>
      </w:r>
    </w:p>
    <w:p w14:paraId="2F1E6459" w14:textId="77777777" w:rsidR="00773AD8" w:rsidRPr="009C496C" w:rsidRDefault="00773AD8" w:rsidP="00C470F4">
      <w:pPr>
        <w:spacing w:line="360" w:lineRule="auto"/>
        <w:jc w:val="both"/>
        <w:rPr>
          <w:b/>
          <w:bCs/>
          <w:sz w:val="22"/>
          <w:szCs w:val="22"/>
          <w:lang w:val="en-US"/>
        </w:rPr>
      </w:pPr>
    </w:p>
    <w:p w14:paraId="40A74020" w14:textId="08422BEE" w:rsidR="00773AD8" w:rsidRPr="00C470F4" w:rsidRDefault="00773AD8" w:rsidP="00C470F4">
      <w:pPr>
        <w:spacing w:line="360" w:lineRule="auto"/>
        <w:jc w:val="both"/>
        <w:rPr>
          <w:sz w:val="22"/>
          <w:szCs w:val="22"/>
          <w:u w:val="single"/>
        </w:rPr>
      </w:pPr>
      <w:r>
        <w:rPr>
          <w:b/>
          <w:sz w:val="22"/>
        </w:rPr>
        <w:t xml:space="preserve">Question 4. </w:t>
      </w:r>
      <w:r>
        <w:rPr>
          <w:sz w:val="22"/>
          <w:u w:val="single"/>
        </w:rPr>
        <w:t>Why is the CCR useful?</w:t>
      </w:r>
    </w:p>
    <w:p w14:paraId="6B53ED41" w14:textId="32E270D9" w:rsidR="00773AD8" w:rsidRPr="00C470F4" w:rsidRDefault="00773AD8" w:rsidP="00C470F4">
      <w:pPr>
        <w:spacing w:line="360" w:lineRule="auto"/>
        <w:jc w:val="both"/>
        <w:rPr>
          <w:sz w:val="22"/>
          <w:szCs w:val="22"/>
        </w:rPr>
      </w:pPr>
      <w:r>
        <w:rPr>
          <w:b/>
          <w:sz w:val="22"/>
        </w:rPr>
        <w:t xml:space="preserve">Answer: </w:t>
      </w:r>
      <w:r>
        <w:rPr>
          <w:sz w:val="22"/>
        </w:rPr>
        <w:t>It is useful because</w:t>
      </w:r>
      <w:r w:rsidR="009E7FD8">
        <w:rPr>
          <w:sz w:val="22"/>
        </w:rPr>
        <w:t xml:space="preserve"> the CCR</w:t>
      </w:r>
      <w:r>
        <w:rPr>
          <w:sz w:val="22"/>
        </w:rPr>
        <w:t>:</w:t>
      </w:r>
      <w:r>
        <w:rPr>
          <w:b/>
          <w:sz w:val="22"/>
        </w:rPr>
        <w:t xml:space="preserve"> </w:t>
      </w:r>
    </w:p>
    <w:p w14:paraId="1B93CF6C" w14:textId="66441D1E" w:rsidR="00647662" w:rsidRDefault="00647662" w:rsidP="00C470F4">
      <w:pPr>
        <w:numPr>
          <w:ilvl w:val="0"/>
          <w:numId w:val="8"/>
        </w:numPr>
        <w:spacing w:line="360" w:lineRule="auto"/>
        <w:jc w:val="both"/>
        <w:rPr>
          <w:sz w:val="22"/>
          <w:szCs w:val="22"/>
        </w:rPr>
      </w:pPr>
      <w:r>
        <w:rPr>
          <w:sz w:val="22"/>
        </w:rPr>
        <w:t xml:space="preserve">gives citizens, for the first time and at no cost, the opportunity to have </w:t>
      </w:r>
      <w:r w:rsidR="00A53C9E">
        <w:rPr>
          <w:sz w:val="22"/>
        </w:rPr>
        <w:t xml:space="preserve">a complete </w:t>
      </w:r>
      <w:r>
        <w:rPr>
          <w:sz w:val="22"/>
        </w:rPr>
        <w:t xml:space="preserve">picture of their credit </w:t>
      </w:r>
      <w:r w:rsidR="00A53C9E">
        <w:rPr>
          <w:sz w:val="22"/>
        </w:rPr>
        <w:t>profile</w:t>
      </w:r>
      <w:r>
        <w:rPr>
          <w:sz w:val="22"/>
        </w:rPr>
        <w:t>;</w:t>
      </w:r>
    </w:p>
    <w:p w14:paraId="52926533" w14:textId="5E1DEABA" w:rsidR="00B71F2B" w:rsidRPr="00C470F4" w:rsidRDefault="00B71F2B" w:rsidP="00C470F4">
      <w:pPr>
        <w:numPr>
          <w:ilvl w:val="0"/>
          <w:numId w:val="8"/>
        </w:numPr>
        <w:spacing w:line="360" w:lineRule="auto"/>
        <w:jc w:val="both"/>
        <w:rPr>
          <w:sz w:val="22"/>
          <w:szCs w:val="22"/>
        </w:rPr>
      </w:pPr>
      <w:r>
        <w:rPr>
          <w:sz w:val="22"/>
        </w:rPr>
        <w:t>contributes to enhancing the financing of the real economy;</w:t>
      </w:r>
    </w:p>
    <w:p w14:paraId="5E809716" w14:textId="18F7F627" w:rsidR="00773AD8" w:rsidRPr="00C470F4" w:rsidRDefault="000F04E7" w:rsidP="00C470F4">
      <w:pPr>
        <w:numPr>
          <w:ilvl w:val="0"/>
          <w:numId w:val="8"/>
        </w:numPr>
        <w:spacing w:line="360" w:lineRule="auto"/>
        <w:jc w:val="both"/>
        <w:rPr>
          <w:sz w:val="22"/>
          <w:szCs w:val="22"/>
        </w:rPr>
      </w:pPr>
      <w:r>
        <w:rPr>
          <w:sz w:val="22"/>
        </w:rPr>
        <w:t xml:space="preserve">enhances </w:t>
      </w:r>
      <w:r w:rsidR="00C8383F">
        <w:rPr>
          <w:sz w:val="22"/>
          <w:lang w:val="en-US"/>
        </w:rPr>
        <w:t xml:space="preserve">market </w:t>
      </w:r>
      <w:r>
        <w:rPr>
          <w:sz w:val="22"/>
        </w:rPr>
        <w:t>transparency;</w:t>
      </w:r>
    </w:p>
    <w:p w14:paraId="063103C2" w14:textId="4C3219D3" w:rsidR="00773AD8" w:rsidRPr="00C470F4" w:rsidRDefault="000F04E7" w:rsidP="00C470F4">
      <w:pPr>
        <w:numPr>
          <w:ilvl w:val="0"/>
          <w:numId w:val="8"/>
        </w:numPr>
        <w:spacing w:line="360" w:lineRule="auto"/>
        <w:jc w:val="both"/>
        <w:rPr>
          <w:sz w:val="22"/>
          <w:szCs w:val="22"/>
        </w:rPr>
      </w:pPr>
      <w:r>
        <w:rPr>
          <w:sz w:val="22"/>
        </w:rPr>
        <w:t>contributes to preventing</w:t>
      </w:r>
      <w:r w:rsidR="0031126F">
        <w:rPr>
          <w:sz w:val="22"/>
        </w:rPr>
        <w:t xml:space="preserve"> over-indebtedness</w:t>
      </w:r>
      <w:r>
        <w:rPr>
          <w:sz w:val="22"/>
        </w:rPr>
        <w:t xml:space="preserve"> and to safeguarding financial stability;</w:t>
      </w:r>
    </w:p>
    <w:p w14:paraId="2169D802" w14:textId="5E6B804D" w:rsidR="00773AD8" w:rsidRPr="00C470F4" w:rsidRDefault="000F04E7" w:rsidP="00C470F4">
      <w:pPr>
        <w:numPr>
          <w:ilvl w:val="0"/>
          <w:numId w:val="8"/>
        </w:numPr>
        <w:spacing w:line="360" w:lineRule="auto"/>
        <w:jc w:val="both"/>
        <w:rPr>
          <w:sz w:val="22"/>
          <w:szCs w:val="22"/>
        </w:rPr>
      </w:pPr>
      <w:r>
        <w:rPr>
          <w:sz w:val="22"/>
        </w:rPr>
        <w:t>makes the process of assessing new credit applications more efficient.</w:t>
      </w:r>
    </w:p>
    <w:p w14:paraId="28B8C597" w14:textId="77777777" w:rsidR="00773AD8" w:rsidRPr="009C496C" w:rsidRDefault="00773AD8" w:rsidP="00C470F4">
      <w:pPr>
        <w:spacing w:line="360" w:lineRule="auto"/>
        <w:jc w:val="both"/>
        <w:rPr>
          <w:sz w:val="22"/>
          <w:szCs w:val="22"/>
          <w:lang w:val="en-US"/>
        </w:rPr>
      </w:pPr>
    </w:p>
    <w:p w14:paraId="69F7DFAA" w14:textId="3B8AA569" w:rsidR="00773AD8" w:rsidRPr="00C470F4" w:rsidRDefault="00773AD8" w:rsidP="00C470F4">
      <w:pPr>
        <w:spacing w:line="360" w:lineRule="auto"/>
        <w:jc w:val="both"/>
        <w:rPr>
          <w:sz w:val="22"/>
          <w:szCs w:val="22"/>
          <w:u w:val="single"/>
        </w:rPr>
      </w:pPr>
      <w:r>
        <w:rPr>
          <w:b/>
          <w:sz w:val="22"/>
        </w:rPr>
        <w:t xml:space="preserve">Question 5. </w:t>
      </w:r>
      <w:r>
        <w:rPr>
          <w:sz w:val="22"/>
          <w:u w:val="single"/>
        </w:rPr>
        <w:t>What kind of data does the CCR contain?</w:t>
      </w:r>
    </w:p>
    <w:p w14:paraId="21539E34" w14:textId="5C7C3171" w:rsidR="00773AD8" w:rsidRPr="002F3849" w:rsidRDefault="00773AD8" w:rsidP="00C470F4">
      <w:pPr>
        <w:spacing w:line="360" w:lineRule="auto"/>
        <w:jc w:val="both"/>
        <w:rPr>
          <w:sz w:val="22"/>
          <w:szCs w:val="22"/>
          <w:lang w:val="en-US"/>
        </w:rPr>
      </w:pPr>
      <w:r>
        <w:rPr>
          <w:b/>
          <w:sz w:val="22"/>
        </w:rPr>
        <w:lastRenderedPageBreak/>
        <w:t xml:space="preserve">Answer: </w:t>
      </w:r>
      <w:r>
        <w:rPr>
          <w:sz w:val="22"/>
        </w:rPr>
        <w:t xml:space="preserve">The different types of credit on which data are collected include, </w:t>
      </w:r>
      <w:r w:rsidR="00CA1E29">
        <w:rPr>
          <w:sz w:val="22"/>
        </w:rPr>
        <w:t>indicatively</w:t>
      </w:r>
      <w:r>
        <w:rPr>
          <w:sz w:val="22"/>
        </w:rPr>
        <w:t>, housing, consumer and business loans, leasing and factoring contracts, as well as the collateral provided for them.</w:t>
      </w:r>
    </w:p>
    <w:p w14:paraId="29BD4164" w14:textId="77777777" w:rsidR="00582E68" w:rsidRPr="009C496C" w:rsidRDefault="00582E68" w:rsidP="00C470F4">
      <w:pPr>
        <w:spacing w:line="360" w:lineRule="auto"/>
        <w:jc w:val="both"/>
        <w:rPr>
          <w:sz w:val="22"/>
          <w:szCs w:val="22"/>
          <w:lang w:val="en-US"/>
        </w:rPr>
      </w:pPr>
    </w:p>
    <w:p w14:paraId="1FE9008B" w14:textId="696B2F99" w:rsidR="00773AD8" w:rsidRPr="00C470F4" w:rsidRDefault="00773AD8" w:rsidP="00C470F4">
      <w:pPr>
        <w:spacing w:line="360" w:lineRule="auto"/>
        <w:jc w:val="both"/>
        <w:rPr>
          <w:sz w:val="22"/>
          <w:szCs w:val="22"/>
          <w:u w:val="single"/>
        </w:rPr>
      </w:pPr>
      <w:r>
        <w:rPr>
          <w:b/>
          <w:sz w:val="22"/>
        </w:rPr>
        <w:t xml:space="preserve">Question 6. </w:t>
      </w:r>
      <w:r>
        <w:rPr>
          <w:sz w:val="22"/>
          <w:u w:val="single"/>
        </w:rPr>
        <w:t>Does the operation of the CCR affect the loan approval process?</w:t>
      </w:r>
    </w:p>
    <w:p w14:paraId="48C68B32" w14:textId="5B4BB382" w:rsidR="00773AD8" w:rsidRPr="00C470F4" w:rsidRDefault="00773AD8" w:rsidP="00C470F4">
      <w:pPr>
        <w:spacing w:line="360" w:lineRule="auto"/>
        <w:jc w:val="both"/>
        <w:rPr>
          <w:sz w:val="22"/>
          <w:szCs w:val="22"/>
        </w:rPr>
      </w:pPr>
      <w:r>
        <w:rPr>
          <w:b/>
          <w:sz w:val="22"/>
        </w:rPr>
        <w:t xml:space="preserve">Answer: </w:t>
      </w:r>
      <w:r>
        <w:rPr>
          <w:sz w:val="22"/>
        </w:rPr>
        <w:t xml:space="preserve">The </w:t>
      </w:r>
      <w:r w:rsidR="00F66D72">
        <w:rPr>
          <w:sz w:val="22"/>
        </w:rPr>
        <w:t xml:space="preserve">Bank of Greece </w:t>
      </w:r>
      <w:r>
        <w:rPr>
          <w:sz w:val="22"/>
        </w:rPr>
        <w:t xml:space="preserve">is not involved in loan assessment or approval. Banks use the data they already used. Banks that are connected to the CCR use the data made available to them in order to improve the quality and completeness of credit information about </w:t>
      </w:r>
      <w:r w:rsidR="00CA1E29">
        <w:rPr>
          <w:sz w:val="22"/>
        </w:rPr>
        <w:t xml:space="preserve">borrowers </w:t>
      </w:r>
      <w:r>
        <w:rPr>
          <w:sz w:val="22"/>
        </w:rPr>
        <w:t>with whom they have signed or are about to sign a credit agreement, thus enhancing their credit risk assessment and management capabilities.</w:t>
      </w:r>
    </w:p>
    <w:p w14:paraId="03D6C792" w14:textId="19ADA77B" w:rsidR="00773AD8" w:rsidRPr="009C496C" w:rsidRDefault="00773AD8" w:rsidP="00C470F4">
      <w:pPr>
        <w:spacing w:line="360" w:lineRule="auto"/>
        <w:jc w:val="both"/>
        <w:rPr>
          <w:sz w:val="22"/>
          <w:szCs w:val="22"/>
          <w:lang w:val="en-US"/>
        </w:rPr>
      </w:pPr>
    </w:p>
    <w:p w14:paraId="61B2EDAD" w14:textId="3155F1E8" w:rsidR="00773AD8" w:rsidRPr="00C470F4" w:rsidRDefault="00773AD8" w:rsidP="00C470F4">
      <w:pPr>
        <w:spacing w:line="360" w:lineRule="auto"/>
        <w:jc w:val="both"/>
        <w:rPr>
          <w:sz w:val="22"/>
          <w:szCs w:val="22"/>
          <w:u w:val="single"/>
        </w:rPr>
      </w:pPr>
      <w:r>
        <w:rPr>
          <w:b/>
          <w:sz w:val="22"/>
        </w:rPr>
        <w:t xml:space="preserve">Question 7. </w:t>
      </w:r>
      <w:r>
        <w:rPr>
          <w:sz w:val="22"/>
          <w:u w:val="single"/>
        </w:rPr>
        <w:t xml:space="preserve">What if I </w:t>
      </w:r>
      <w:r w:rsidR="009E7FD8">
        <w:rPr>
          <w:sz w:val="22"/>
          <w:u w:val="single"/>
        </w:rPr>
        <w:t xml:space="preserve">find an error in my </w:t>
      </w:r>
      <w:r w:rsidR="00E75E93">
        <w:rPr>
          <w:sz w:val="22"/>
          <w:u w:val="single"/>
        </w:rPr>
        <w:t>C</w:t>
      </w:r>
      <w:r w:rsidR="009E7FD8">
        <w:rPr>
          <w:sz w:val="22"/>
          <w:u w:val="single"/>
        </w:rPr>
        <w:t xml:space="preserve">redit </w:t>
      </w:r>
      <w:r w:rsidR="00E75E93">
        <w:rPr>
          <w:sz w:val="22"/>
          <w:u w:val="single"/>
        </w:rPr>
        <w:t>R</w:t>
      </w:r>
      <w:r w:rsidR="009E7FD8">
        <w:rPr>
          <w:sz w:val="22"/>
          <w:u w:val="single"/>
        </w:rPr>
        <w:t>eport</w:t>
      </w:r>
      <w:r>
        <w:rPr>
          <w:sz w:val="22"/>
          <w:u w:val="single"/>
        </w:rPr>
        <w:t>?</w:t>
      </w:r>
    </w:p>
    <w:p w14:paraId="2854E42F" w14:textId="45C59805" w:rsidR="00773AD8" w:rsidRPr="00C470F4" w:rsidRDefault="00773AD8" w:rsidP="00C470F4">
      <w:pPr>
        <w:spacing w:line="360" w:lineRule="auto"/>
        <w:jc w:val="both"/>
        <w:rPr>
          <w:sz w:val="22"/>
          <w:szCs w:val="22"/>
        </w:rPr>
      </w:pPr>
      <w:r>
        <w:rPr>
          <w:b/>
          <w:sz w:val="22"/>
        </w:rPr>
        <w:t xml:space="preserve">Answer: </w:t>
      </w:r>
      <w:r>
        <w:rPr>
          <w:sz w:val="22"/>
        </w:rPr>
        <w:t xml:space="preserve">You can </w:t>
      </w:r>
      <w:r>
        <w:rPr>
          <w:b/>
          <w:sz w:val="22"/>
        </w:rPr>
        <w:t>immediately</w:t>
      </w:r>
      <w:r>
        <w:rPr>
          <w:sz w:val="22"/>
        </w:rPr>
        <w:t xml:space="preserve"> request </w:t>
      </w:r>
      <w:r w:rsidR="00CA1E29">
        <w:rPr>
          <w:sz w:val="22"/>
        </w:rPr>
        <w:t xml:space="preserve">online </w:t>
      </w:r>
      <w:r w:rsidR="004D2105">
        <w:rPr>
          <w:b/>
          <w:sz w:val="22"/>
          <w:lang w:val="en-US"/>
        </w:rPr>
        <w:t>free of</w:t>
      </w:r>
      <w:r w:rsidR="004D2105">
        <w:rPr>
          <w:b/>
          <w:sz w:val="22"/>
        </w:rPr>
        <w:t xml:space="preserve"> charge</w:t>
      </w:r>
      <w:r w:rsidR="004D2105">
        <w:rPr>
          <w:sz w:val="22"/>
        </w:rPr>
        <w:t xml:space="preserve"> </w:t>
      </w:r>
      <w:r w:rsidR="00CA1E29">
        <w:rPr>
          <w:sz w:val="22"/>
        </w:rPr>
        <w:t>an amendment</w:t>
      </w:r>
      <w:r>
        <w:rPr>
          <w:sz w:val="22"/>
        </w:rPr>
        <w:t xml:space="preserve">. The </w:t>
      </w:r>
      <w:r w:rsidR="00CA1E29">
        <w:rPr>
          <w:sz w:val="22"/>
        </w:rPr>
        <w:t>error will be corrected</w:t>
      </w:r>
      <w:r w:rsidR="004D2105">
        <w:rPr>
          <w:sz w:val="22"/>
        </w:rPr>
        <w:t xml:space="preserve"> by the </w:t>
      </w:r>
      <w:r w:rsidR="009E7FD8">
        <w:rPr>
          <w:sz w:val="22"/>
        </w:rPr>
        <w:t xml:space="preserve">lender </w:t>
      </w:r>
      <w:r>
        <w:rPr>
          <w:sz w:val="22"/>
        </w:rPr>
        <w:t xml:space="preserve">that </w:t>
      </w:r>
      <w:r w:rsidR="00CA1E29">
        <w:rPr>
          <w:sz w:val="22"/>
        </w:rPr>
        <w:t xml:space="preserve">reported </w:t>
      </w:r>
      <w:r>
        <w:rPr>
          <w:sz w:val="22"/>
        </w:rPr>
        <w:t xml:space="preserve">the data. The Bank of Greece </w:t>
      </w:r>
      <w:r w:rsidR="00FF1489">
        <w:rPr>
          <w:sz w:val="22"/>
        </w:rPr>
        <w:t xml:space="preserve">oversees </w:t>
      </w:r>
      <w:r w:rsidR="004D2105">
        <w:rPr>
          <w:sz w:val="22"/>
        </w:rPr>
        <w:t xml:space="preserve">the process </w:t>
      </w:r>
      <w:r>
        <w:rPr>
          <w:sz w:val="22"/>
        </w:rPr>
        <w:t xml:space="preserve">and ensures the correct </w:t>
      </w:r>
      <w:r w:rsidR="00CA1E29">
        <w:rPr>
          <w:sz w:val="22"/>
        </w:rPr>
        <w:t xml:space="preserve">reporting </w:t>
      </w:r>
      <w:r w:rsidR="005D727F">
        <w:rPr>
          <w:sz w:val="22"/>
        </w:rPr>
        <w:t>of data</w:t>
      </w:r>
      <w:r>
        <w:rPr>
          <w:sz w:val="22"/>
        </w:rPr>
        <w:t>.</w:t>
      </w:r>
    </w:p>
    <w:p w14:paraId="5BC2ACD9" w14:textId="77777777" w:rsidR="00773AD8" w:rsidRPr="00C470F4" w:rsidRDefault="00773AD8" w:rsidP="00C470F4">
      <w:pPr>
        <w:spacing w:line="360" w:lineRule="auto"/>
        <w:jc w:val="both"/>
        <w:rPr>
          <w:sz w:val="22"/>
          <w:szCs w:val="22"/>
        </w:rPr>
      </w:pPr>
      <w:r>
        <w:rPr>
          <w:sz w:val="22"/>
        </w:rPr>
        <w:t xml:space="preserve"> </w:t>
      </w:r>
    </w:p>
    <w:p w14:paraId="566DEF80" w14:textId="74371946" w:rsidR="00773AD8" w:rsidRPr="00C470F4" w:rsidRDefault="00773AD8" w:rsidP="00C470F4">
      <w:pPr>
        <w:spacing w:line="360" w:lineRule="auto"/>
        <w:jc w:val="both"/>
        <w:rPr>
          <w:b/>
          <w:bCs/>
          <w:sz w:val="22"/>
          <w:szCs w:val="22"/>
        </w:rPr>
      </w:pPr>
      <w:r>
        <w:rPr>
          <w:b/>
          <w:sz w:val="22"/>
        </w:rPr>
        <w:t xml:space="preserve">Question 8. </w:t>
      </w:r>
      <w:r>
        <w:rPr>
          <w:sz w:val="22"/>
          <w:u w:val="single"/>
        </w:rPr>
        <w:t>How is the protection of my personal data ensured?</w:t>
      </w:r>
    </w:p>
    <w:p w14:paraId="5289E634" w14:textId="382E4A35" w:rsidR="00773AD8" w:rsidRPr="00C470F4" w:rsidRDefault="00773AD8" w:rsidP="00C470F4">
      <w:pPr>
        <w:spacing w:line="360" w:lineRule="auto"/>
        <w:jc w:val="both"/>
        <w:rPr>
          <w:sz w:val="22"/>
          <w:szCs w:val="22"/>
        </w:rPr>
      </w:pPr>
      <w:r>
        <w:rPr>
          <w:b/>
          <w:sz w:val="22"/>
        </w:rPr>
        <w:t xml:space="preserve">Answer: </w:t>
      </w:r>
      <w:r>
        <w:rPr>
          <w:sz w:val="22"/>
        </w:rPr>
        <w:t xml:space="preserve">The CCR operates under strict security protocols, in accordance with European standards. The </w:t>
      </w:r>
      <w:r w:rsidR="00D12949">
        <w:rPr>
          <w:sz w:val="22"/>
          <w:lang w:val="en-US"/>
        </w:rPr>
        <w:t>Bank of Greece</w:t>
      </w:r>
      <w:r w:rsidR="00D12949">
        <w:rPr>
          <w:sz w:val="22"/>
        </w:rPr>
        <w:t xml:space="preserve"> acts as </w:t>
      </w:r>
      <w:r>
        <w:rPr>
          <w:sz w:val="22"/>
        </w:rPr>
        <w:t xml:space="preserve">the data controller and ensures full protection of information, </w:t>
      </w:r>
      <w:r w:rsidR="00D12949">
        <w:rPr>
          <w:sz w:val="22"/>
        </w:rPr>
        <w:t>in line with</w:t>
      </w:r>
      <w:r>
        <w:rPr>
          <w:sz w:val="22"/>
        </w:rPr>
        <w:t xml:space="preserve"> the applicable institutional framework </w:t>
      </w:r>
      <w:r w:rsidR="00CA1E29">
        <w:rPr>
          <w:sz w:val="22"/>
        </w:rPr>
        <w:t xml:space="preserve">on </w:t>
      </w:r>
      <w:r>
        <w:rPr>
          <w:sz w:val="22"/>
        </w:rPr>
        <w:t>the protection of personal data, confidentiality and information security.</w:t>
      </w:r>
    </w:p>
    <w:p w14:paraId="0F513787" w14:textId="77777777" w:rsidR="00773AD8" w:rsidRPr="009C496C" w:rsidRDefault="00773AD8" w:rsidP="00C470F4">
      <w:pPr>
        <w:spacing w:line="360" w:lineRule="auto"/>
        <w:jc w:val="both"/>
        <w:rPr>
          <w:sz w:val="22"/>
          <w:szCs w:val="22"/>
          <w:lang w:val="en-US"/>
        </w:rPr>
      </w:pPr>
    </w:p>
    <w:p w14:paraId="39CBF954" w14:textId="5159B134" w:rsidR="00773AD8" w:rsidRPr="002F5E4A" w:rsidRDefault="00773AD8" w:rsidP="00C470F4">
      <w:pPr>
        <w:spacing w:line="360" w:lineRule="auto"/>
        <w:jc w:val="both"/>
        <w:rPr>
          <w:sz w:val="22"/>
          <w:szCs w:val="22"/>
          <w:u w:val="single"/>
        </w:rPr>
      </w:pPr>
      <w:r>
        <w:rPr>
          <w:b/>
          <w:sz w:val="22"/>
        </w:rPr>
        <w:t xml:space="preserve">Question 9. </w:t>
      </w:r>
      <w:r>
        <w:rPr>
          <w:sz w:val="22"/>
          <w:u w:val="single"/>
        </w:rPr>
        <w:t>What should the citizen do?</w:t>
      </w:r>
    </w:p>
    <w:p w14:paraId="799A5E3A" w14:textId="0836B899" w:rsidR="00773AD8" w:rsidRPr="00783842" w:rsidRDefault="00773AD8" w:rsidP="00C470F4">
      <w:pPr>
        <w:autoSpaceDE w:val="0"/>
        <w:autoSpaceDN w:val="0"/>
        <w:adjustRightInd w:val="0"/>
        <w:spacing w:line="360" w:lineRule="auto"/>
        <w:rPr>
          <w:sz w:val="22"/>
        </w:rPr>
      </w:pPr>
      <w:r>
        <w:rPr>
          <w:b/>
          <w:sz w:val="22"/>
        </w:rPr>
        <w:t xml:space="preserve">Answer: </w:t>
      </w:r>
      <w:r>
        <w:rPr>
          <w:sz w:val="22"/>
        </w:rPr>
        <w:t xml:space="preserve">Nothing. The data </w:t>
      </w:r>
      <w:r w:rsidR="00CA1E29">
        <w:rPr>
          <w:sz w:val="22"/>
        </w:rPr>
        <w:t xml:space="preserve">are reported </w:t>
      </w:r>
      <w:r>
        <w:rPr>
          <w:sz w:val="22"/>
        </w:rPr>
        <w:t xml:space="preserve">by the </w:t>
      </w:r>
      <w:r w:rsidR="00CA1E29">
        <w:rPr>
          <w:sz w:val="22"/>
        </w:rPr>
        <w:t>lenders</w:t>
      </w:r>
      <w:r>
        <w:rPr>
          <w:sz w:val="22"/>
        </w:rPr>
        <w:t xml:space="preserve">. Citizens may, if they so wish, request access to their data by </w:t>
      </w:r>
      <w:r w:rsidR="00AC01DA">
        <w:rPr>
          <w:sz w:val="22"/>
        </w:rPr>
        <w:t>having</w:t>
      </w:r>
      <w:r>
        <w:rPr>
          <w:sz w:val="22"/>
        </w:rPr>
        <w:t xml:space="preserve"> their </w:t>
      </w:r>
      <w:r w:rsidR="00E75E93">
        <w:rPr>
          <w:sz w:val="22"/>
        </w:rPr>
        <w:t>C</w:t>
      </w:r>
      <w:r>
        <w:rPr>
          <w:sz w:val="22"/>
        </w:rPr>
        <w:t xml:space="preserve">redit </w:t>
      </w:r>
      <w:r w:rsidR="00E75E93">
        <w:rPr>
          <w:sz w:val="22"/>
        </w:rPr>
        <w:t>R</w:t>
      </w:r>
      <w:r>
        <w:rPr>
          <w:sz w:val="22"/>
        </w:rPr>
        <w:t xml:space="preserve">eport </w:t>
      </w:r>
      <w:r w:rsidR="00AC01DA">
        <w:rPr>
          <w:sz w:val="22"/>
        </w:rPr>
        <w:t xml:space="preserve">issued </w:t>
      </w:r>
      <w:r>
        <w:rPr>
          <w:sz w:val="22"/>
        </w:rPr>
        <w:t>free of charge.</w:t>
      </w:r>
    </w:p>
    <w:p w14:paraId="56EF6FE6" w14:textId="77777777" w:rsidR="00C470F4" w:rsidRPr="009C496C" w:rsidRDefault="00C470F4" w:rsidP="00C470F4">
      <w:pPr>
        <w:spacing w:line="360" w:lineRule="auto"/>
        <w:jc w:val="both"/>
        <w:rPr>
          <w:b/>
          <w:bCs/>
          <w:sz w:val="22"/>
          <w:szCs w:val="22"/>
          <w:lang w:val="en-US"/>
        </w:rPr>
      </w:pPr>
    </w:p>
    <w:p w14:paraId="321DCDFC" w14:textId="71E77138" w:rsidR="00773AD8" w:rsidRPr="00C470F4" w:rsidRDefault="00773AD8" w:rsidP="00C470F4">
      <w:pPr>
        <w:spacing w:line="360" w:lineRule="auto"/>
        <w:jc w:val="both"/>
        <w:rPr>
          <w:sz w:val="22"/>
          <w:szCs w:val="22"/>
          <w:u w:val="single"/>
        </w:rPr>
      </w:pPr>
      <w:r>
        <w:rPr>
          <w:b/>
          <w:sz w:val="22"/>
        </w:rPr>
        <w:t xml:space="preserve">Question 10. </w:t>
      </w:r>
      <w:r>
        <w:rPr>
          <w:sz w:val="22"/>
          <w:u w:val="single"/>
        </w:rPr>
        <w:t>How does the Central Credit Register (CCR) differ from the Credit Rating Register (CRR) and the Private Debt Monitoring Register (PDMR)?</w:t>
      </w:r>
    </w:p>
    <w:p w14:paraId="4852D643" w14:textId="4E002344" w:rsidR="00773AD8" w:rsidRPr="00C470F4" w:rsidRDefault="00773AD8" w:rsidP="00C470F4">
      <w:pPr>
        <w:spacing w:line="360" w:lineRule="auto"/>
        <w:jc w:val="both"/>
        <w:rPr>
          <w:sz w:val="22"/>
          <w:szCs w:val="22"/>
        </w:rPr>
      </w:pPr>
      <w:r>
        <w:rPr>
          <w:b/>
          <w:sz w:val="22"/>
        </w:rPr>
        <w:t xml:space="preserve">Answer: </w:t>
      </w:r>
      <w:r>
        <w:rPr>
          <w:sz w:val="22"/>
        </w:rPr>
        <w:t>These are three different databases with different purposes:</w:t>
      </w:r>
    </w:p>
    <w:p w14:paraId="2CF2B0B7" w14:textId="75F5BCAD" w:rsidR="00773AD8" w:rsidRPr="00C470F4" w:rsidRDefault="00773AD8" w:rsidP="00C470F4">
      <w:pPr>
        <w:pStyle w:val="ListParagraph"/>
        <w:numPr>
          <w:ilvl w:val="0"/>
          <w:numId w:val="12"/>
        </w:numPr>
        <w:spacing w:line="360" w:lineRule="auto"/>
        <w:jc w:val="both"/>
        <w:rPr>
          <w:sz w:val="22"/>
          <w:szCs w:val="22"/>
        </w:rPr>
      </w:pPr>
      <w:r>
        <w:rPr>
          <w:sz w:val="22"/>
        </w:rPr>
        <w:t xml:space="preserve">The main aim of the </w:t>
      </w:r>
      <w:r>
        <w:rPr>
          <w:b/>
          <w:bCs/>
          <w:sz w:val="22"/>
        </w:rPr>
        <w:t>CCR</w:t>
      </w:r>
      <w:r>
        <w:rPr>
          <w:sz w:val="22"/>
        </w:rPr>
        <w:t xml:space="preserve"> is to enhance the financing of the real economy by the Greek financial system and to safeguard financial stability by directly providing </w:t>
      </w:r>
      <w:r w:rsidR="00CA1E29">
        <w:rPr>
          <w:sz w:val="22"/>
        </w:rPr>
        <w:t xml:space="preserve">borrowers </w:t>
      </w:r>
      <w:r>
        <w:rPr>
          <w:sz w:val="22"/>
        </w:rPr>
        <w:t xml:space="preserve">with </w:t>
      </w:r>
      <w:r>
        <w:rPr>
          <w:b/>
          <w:sz w:val="22"/>
        </w:rPr>
        <w:t xml:space="preserve">a </w:t>
      </w:r>
      <w:r w:rsidR="00CA1E29">
        <w:rPr>
          <w:b/>
          <w:sz w:val="22"/>
        </w:rPr>
        <w:t xml:space="preserve">complete </w:t>
      </w:r>
      <w:r>
        <w:rPr>
          <w:b/>
          <w:sz w:val="22"/>
        </w:rPr>
        <w:t>picture of their credit</w:t>
      </w:r>
      <w:r w:rsidR="00CA1E29">
        <w:rPr>
          <w:b/>
          <w:sz w:val="22"/>
        </w:rPr>
        <w:t xml:space="preserve"> profile</w:t>
      </w:r>
      <w:r>
        <w:rPr>
          <w:sz w:val="22"/>
        </w:rPr>
        <w:t>.</w:t>
      </w:r>
    </w:p>
    <w:p w14:paraId="7572374A" w14:textId="74740556" w:rsidR="00773AD8" w:rsidRPr="00C470F4" w:rsidRDefault="004219A6" w:rsidP="00C470F4">
      <w:pPr>
        <w:pStyle w:val="ListParagraph"/>
        <w:numPr>
          <w:ilvl w:val="0"/>
          <w:numId w:val="12"/>
        </w:numPr>
        <w:spacing w:line="360" w:lineRule="auto"/>
        <w:jc w:val="both"/>
        <w:rPr>
          <w:sz w:val="22"/>
          <w:szCs w:val="22"/>
        </w:rPr>
      </w:pPr>
      <w:r>
        <w:rPr>
          <w:sz w:val="22"/>
        </w:rPr>
        <w:t xml:space="preserve">Once </w:t>
      </w:r>
      <w:r w:rsidR="00773AD8">
        <w:rPr>
          <w:sz w:val="22"/>
        </w:rPr>
        <w:t xml:space="preserve">completed, </w:t>
      </w:r>
      <w:r w:rsidR="00773AD8">
        <w:rPr>
          <w:b/>
          <w:sz w:val="22"/>
        </w:rPr>
        <w:t>the CRR</w:t>
      </w:r>
      <w:r w:rsidR="00773AD8">
        <w:rPr>
          <w:sz w:val="22"/>
        </w:rPr>
        <w:t xml:space="preserve"> will</w:t>
      </w:r>
      <w:r w:rsidR="00773AD8">
        <w:rPr>
          <w:b/>
          <w:sz w:val="22"/>
        </w:rPr>
        <w:t xml:space="preserve"> </w:t>
      </w:r>
      <w:r w:rsidR="00773AD8">
        <w:rPr>
          <w:sz w:val="22"/>
        </w:rPr>
        <w:t xml:space="preserve">compile data on </w:t>
      </w:r>
      <w:r w:rsidR="00773AD8">
        <w:rPr>
          <w:b/>
          <w:sz w:val="22"/>
        </w:rPr>
        <w:t>debts owed to the State</w:t>
      </w:r>
      <w:r w:rsidR="00773AD8">
        <w:rPr>
          <w:sz w:val="22"/>
        </w:rPr>
        <w:t xml:space="preserve"> and assign a relevant score.</w:t>
      </w:r>
    </w:p>
    <w:p w14:paraId="39C017C8" w14:textId="10965F86" w:rsidR="00773AD8" w:rsidRPr="00C470F4" w:rsidRDefault="004219A6" w:rsidP="00C470F4">
      <w:pPr>
        <w:pStyle w:val="ListParagraph"/>
        <w:numPr>
          <w:ilvl w:val="0"/>
          <w:numId w:val="12"/>
        </w:numPr>
        <w:spacing w:line="360" w:lineRule="auto"/>
        <w:jc w:val="both"/>
        <w:rPr>
          <w:sz w:val="22"/>
          <w:szCs w:val="22"/>
        </w:rPr>
      </w:pPr>
      <w:r>
        <w:rPr>
          <w:sz w:val="22"/>
        </w:rPr>
        <w:t xml:space="preserve">Once </w:t>
      </w:r>
      <w:r w:rsidR="00773AD8">
        <w:rPr>
          <w:sz w:val="22"/>
        </w:rPr>
        <w:t>completed,</w:t>
      </w:r>
      <w:r w:rsidR="00773AD8">
        <w:rPr>
          <w:b/>
          <w:sz w:val="22"/>
        </w:rPr>
        <w:t xml:space="preserve"> the PDMR</w:t>
      </w:r>
      <w:r w:rsidR="00773AD8">
        <w:rPr>
          <w:sz w:val="22"/>
        </w:rPr>
        <w:t xml:space="preserve"> will interopera</w:t>
      </w:r>
      <w:r w:rsidR="00CA1E29">
        <w:rPr>
          <w:sz w:val="22"/>
        </w:rPr>
        <w:t>te</w:t>
      </w:r>
      <w:r w:rsidR="00773AD8">
        <w:rPr>
          <w:sz w:val="22"/>
        </w:rPr>
        <w:t xml:space="preserve"> with other registers and will provide a </w:t>
      </w:r>
      <w:r w:rsidR="00773AD8">
        <w:rPr>
          <w:b/>
          <w:bCs/>
          <w:sz w:val="22"/>
        </w:rPr>
        <w:t xml:space="preserve">comprehensive </w:t>
      </w:r>
      <w:r w:rsidR="00CA1E29">
        <w:rPr>
          <w:b/>
          <w:bCs/>
          <w:sz w:val="22"/>
        </w:rPr>
        <w:t xml:space="preserve">picture </w:t>
      </w:r>
      <w:r w:rsidR="00773AD8">
        <w:rPr>
          <w:b/>
          <w:bCs/>
          <w:sz w:val="22"/>
        </w:rPr>
        <w:t>of private debt.</w:t>
      </w:r>
    </w:p>
    <w:p w14:paraId="195D1DEA" w14:textId="7156E128" w:rsidR="00773AD8" w:rsidRPr="009C496C" w:rsidRDefault="00773AD8" w:rsidP="00C470F4">
      <w:pPr>
        <w:spacing w:line="360" w:lineRule="auto"/>
        <w:jc w:val="both"/>
        <w:rPr>
          <w:sz w:val="22"/>
          <w:szCs w:val="22"/>
          <w:lang w:val="en-US"/>
        </w:rPr>
      </w:pPr>
    </w:p>
    <w:p w14:paraId="24514DB6" w14:textId="6811D238" w:rsidR="00773AD8" w:rsidRPr="00C470F4" w:rsidRDefault="00773AD8" w:rsidP="00C470F4">
      <w:pPr>
        <w:spacing w:line="360" w:lineRule="auto"/>
        <w:jc w:val="both"/>
        <w:rPr>
          <w:sz w:val="22"/>
          <w:szCs w:val="22"/>
          <w:u w:val="single"/>
        </w:rPr>
      </w:pPr>
      <w:r>
        <w:rPr>
          <w:b/>
          <w:sz w:val="22"/>
        </w:rPr>
        <w:lastRenderedPageBreak/>
        <w:t xml:space="preserve">Question 11. </w:t>
      </w:r>
      <w:r>
        <w:rPr>
          <w:sz w:val="22"/>
          <w:u w:val="single"/>
        </w:rPr>
        <w:t xml:space="preserve">Why do the data in the report not match the data I see in my account via web banking?  </w:t>
      </w:r>
    </w:p>
    <w:p w14:paraId="5E1EFF54" w14:textId="4A168AF2" w:rsidR="00773AD8" w:rsidRPr="00C470F4" w:rsidRDefault="00773AD8" w:rsidP="00C470F4">
      <w:pPr>
        <w:spacing w:line="360" w:lineRule="auto"/>
        <w:jc w:val="both"/>
        <w:rPr>
          <w:sz w:val="22"/>
          <w:szCs w:val="22"/>
        </w:rPr>
      </w:pPr>
      <w:r>
        <w:rPr>
          <w:b/>
          <w:sz w:val="22"/>
        </w:rPr>
        <w:t xml:space="preserve">Answer: </w:t>
      </w:r>
      <w:r>
        <w:rPr>
          <w:sz w:val="22"/>
        </w:rPr>
        <w:t xml:space="preserve">Data are made available through credit reports </w:t>
      </w:r>
      <w:r>
        <w:rPr>
          <w:b/>
          <w:sz w:val="22"/>
        </w:rPr>
        <w:t xml:space="preserve">25 working days after the end of the </w:t>
      </w:r>
      <w:r w:rsidR="00CA1E29">
        <w:rPr>
          <w:b/>
          <w:sz w:val="22"/>
        </w:rPr>
        <w:t xml:space="preserve">reporting </w:t>
      </w:r>
      <w:r>
        <w:rPr>
          <w:b/>
          <w:sz w:val="22"/>
        </w:rPr>
        <w:t>month</w:t>
      </w:r>
      <w:r>
        <w:rPr>
          <w:sz w:val="22"/>
        </w:rPr>
        <w:t xml:space="preserve">. For example, data </w:t>
      </w:r>
      <w:r w:rsidR="00CA1E29">
        <w:rPr>
          <w:sz w:val="22"/>
        </w:rPr>
        <w:t xml:space="preserve">reported in </w:t>
      </w:r>
      <w:r>
        <w:rPr>
          <w:b/>
          <w:sz w:val="22"/>
        </w:rPr>
        <w:t>January 2026</w:t>
      </w:r>
      <w:r>
        <w:rPr>
          <w:sz w:val="22"/>
        </w:rPr>
        <w:t xml:space="preserve"> will be available on </w:t>
      </w:r>
      <w:r>
        <w:rPr>
          <w:b/>
          <w:sz w:val="22"/>
        </w:rPr>
        <w:t>6 March 2026</w:t>
      </w:r>
      <w:r>
        <w:rPr>
          <w:sz w:val="22"/>
        </w:rPr>
        <w:t xml:space="preserve">. </w:t>
      </w:r>
    </w:p>
    <w:p w14:paraId="66362CE7" w14:textId="05801219" w:rsidR="00773AD8" w:rsidRPr="00C470F4" w:rsidRDefault="00B81D8A" w:rsidP="00C470F4">
      <w:pPr>
        <w:spacing w:line="360" w:lineRule="auto"/>
        <w:jc w:val="both"/>
        <w:rPr>
          <w:sz w:val="22"/>
          <w:szCs w:val="22"/>
        </w:rPr>
      </w:pPr>
      <w:r>
        <w:rPr>
          <w:sz w:val="22"/>
        </w:rPr>
        <w:t>As a result</w:t>
      </w:r>
      <w:r w:rsidR="00773AD8">
        <w:rPr>
          <w:sz w:val="22"/>
        </w:rPr>
        <w:t xml:space="preserve">, the data shown in the Credit Report may not fully </w:t>
      </w:r>
      <w:r>
        <w:rPr>
          <w:sz w:val="22"/>
        </w:rPr>
        <w:t xml:space="preserve">reflect </w:t>
      </w:r>
      <w:r w:rsidR="00773AD8">
        <w:rPr>
          <w:sz w:val="22"/>
        </w:rPr>
        <w:t>the</w:t>
      </w:r>
      <w:r w:rsidR="00CA1E29">
        <w:rPr>
          <w:sz w:val="22"/>
        </w:rPr>
        <w:t xml:space="preserve"> borrower</w:t>
      </w:r>
      <w:r w:rsidR="00773AD8">
        <w:rPr>
          <w:sz w:val="22"/>
        </w:rPr>
        <w:t xml:space="preserve">’s actual credit </w:t>
      </w:r>
      <w:r w:rsidR="009E7FD8">
        <w:rPr>
          <w:sz w:val="22"/>
        </w:rPr>
        <w:t xml:space="preserve">profile </w:t>
      </w:r>
      <w:r w:rsidR="00773AD8" w:rsidRPr="00B81D8A">
        <w:rPr>
          <w:sz w:val="22"/>
          <w:u w:val="single"/>
        </w:rPr>
        <w:t>at the time</w:t>
      </w:r>
      <w:r w:rsidR="001330F8" w:rsidRPr="00B84863">
        <w:rPr>
          <w:sz w:val="22"/>
          <w:u w:val="single"/>
        </w:rPr>
        <w:t xml:space="preserve"> t</w:t>
      </w:r>
      <w:r w:rsidR="00773AD8" w:rsidRPr="00B84863">
        <w:rPr>
          <w:sz w:val="22"/>
          <w:u w:val="single"/>
        </w:rPr>
        <w:t xml:space="preserve">he Credit Report </w:t>
      </w:r>
      <w:r>
        <w:rPr>
          <w:sz w:val="22"/>
          <w:u w:val="single"/>
        </w:rPr>
        <w:t>is</w:t>
      </w:r>
      <w:r w:rsidRPr="00B81D8A">
        <w:rPr>
          <w:sz w:val="22"/>
          <w:u w:val="single"/>
        </w:rPr>
        <w:t xml:space="preserve"> </w:t>
      </w:r>
      <w:r w:rsidR="00773AD8" w:rsidRPr="00B81D8A">
        <w:rPr>
          <w:sz w:val="22"/>
          <w:u w:val="single"/>
        </w:rPr>
        <w:t>issued</w:t>
      </w:r>
      <w:r>
        <w:rPr>
          <w:sz w:val="22"/>
          <w:u w:val="single"/>
        </w:rPr>
        <w:t>;</w:t>
      </w:r>
      <w:r w:rsidRPr="00B84863">
        <w:rPr>
          <w:sz w:val="22"/>
        </w:rPr>
        <w:t xml:space="preserve"> for instance</w:t>
      </w:r>
      <w:r w:rsidR="009E7FD8" w:rsidRPr="00B84863">
        <w:rPr>
          <w:sz w:val="22"/>
        </w:rPr>
        <w:t xml:space="preserve"> </w:t>
      </w:r>
      <w:r w:rsidR="00773AD8">
        <w:rPr>
          <w:sz w:val="22"/>
        </w:rPr>
        <w:t>they may not include recent payments of a debt.</w:t>
      </w:r>
    </w:p>
    <w:p w14:paraId="47658FA1" w14:textId="77777777" w:rsidR="00773AD8" w:rsidRPr="009C496C" w:rsidRDefault="00773AD8" w:rsidP="00C470F4">
      <w:pPr>
        <w:spacing w:line="360" w:lineRule="auto"/>
        <w:jc w:val="both"/>
        <w:rPr>
          <w:sz w:val="22"/>
          <w:szCs w:val="22"/>
          <w:lang w:val="en-US"/>
        </w:rPr>
      </w:pPr>
    </w:p>
    <w:p w14:paraId="1E43FB0B" w14:textId="36547084" w:rsidR="00773AD8" w:rsidRPr="00C470F4" w:rsidRDefault="00773AD8" w:rsidP="00C470F4">
      <w:pPr>
        <w:spacing w:line="360" w:lineRule="auto"/>
        <w:jc w:val="both"/>
        <w:rPr>
          <w:sz w:val="22"/>
          <w:szCs w:val="22"/>
          <w:u w:val="single"/>
        </w:rPr>
      </w:pPr>
      <w:r>
        <w:rPr>
          <w:b/>
          <w:sz w:val="22"/>
        </w:rPr>
        <w:t xml:space="preserve">Question 12. </w:t>
      </w:r>
      <w:r>
        <w:rPr>
          <w:sz w:val="22"/>
          <w:u w:val="single"/>
        </w:rPr>
        <w:t xml:space="preserve">I have a credit card with a balance of </w:t>
      </w:r>
      <w:r w:rsidR="008B3D2A" w:rsidRPr="00656024">
        <w:rPr>
          <w:sz w:val="22"/>
          <w:u w:val="single"/>
          <w:lang w:val="en-US"/>
        </w:rPr>
        <w:t>€</w:t>
      </w:r>
      <w:r>
        <w:rPr>
          <w:sz w:val="22"/>
          <w:u w:val="single"/>
        </w:rPr>
        <w:t xml:space="preserve">1,800. Why </w:t>
      </w:r>
      <w:r w:rsidR="009E7FD8">
        <w:rPr>
          <w:sz w:val="22"/>
          <w:u w:val="single"/>
        </w:rPr>
        <w:t xml:space="preserve">doesn’t it show </w:t>
      </w:r>
      <w:r>
        <w:rPr>
          <w:sz w:val="22"/>
          <w:u w:val="single"/>
        </w:rPr>
        <w:t>on my credit report?</w:t>
      </w:r>
    </w:p>
    <w:p w14:paraId="31028986" w14:textId="5D5D851D" w:rsidR="00773AD8" w:rsidRPr="00C470F4" w:rsidRDefault="00773AD8" w:rsidP="00C470F4">
      <w:pPr>
        <w:spacing w:line="360" w:lineRule="auto"/>
        <w:jc w:val="both"/>
        <w:rPr>
          <w:sz w:val="22"/>
          <w:szCs w:val="22"/>
        </w:rPr>
      </w:pPr>
      <w:r>
        <w:rPr>
          <w:b/>
          <w:sz w:val="22"/>
        </w:rPr>
        <w:t xml:space="preserve">Answer: </w:t>
      </w:r>
      <w:r>
        <w:rPr>
          <w:sz w:val="22"/>
        </w:rPr>
        <w:t xml:space="preserve">The CCR collects on a monthly basis and stores granular data </w:t>
      </w:r>
      <w:r w:rsidR="00A464A3">
        <w:rPr>
          <w:sz w:val="22"/>
        </w:rPr>
        <w:t xml:space="preserve">on </w:t>
      </w:r>
      <w:r>
        <w:rPr>
          <w:sz w:val="22"/>
        </w:rPr>
        <w:t xml:space="preserve">any form of credit </w:t>
      </w:r>
      <w:r>
        <w:rPr>
          <w:b/>
          <w:bCs/>
          <w:sz w:val="22"/>
        </w:rPr>
        <w:t xml:space="preserve">equal to or exceeding </w:t>
      </w:r>
      <w:r w:rsidR="008B3D2A" w:rsidRPr="00656024">
        <w:rPr>
          <w:b/>
          <w:bCs/>
          <w:sz w:val="22"/>
          <w:lang w:val="en-US"/>
        </w:rPr>
        <w:t>€</w:t>
      </w:r>
      <w:r>
        <w:rPr>
          <w:b/>
          <w:bCs/>
          <w:sz w:val="22"/>
        </w:rPr>
        <w:t>2,000</w:t>
      </w:r>
      <w:r>
        <w:rPr>
          <w:sz w:val="22"/>
        </w:rPr>
        <w:t xml:space="preserve"> (per </w:t>
      </w:r>
      <w:r w:rsidR="009E7FD8">
        <w:rPr>
          <w:sz w:val="22"/>
        </w:rPr>
        <w:t xml:space="preserve">lender </w:t>
      </w:r>
      <w:r>
        <w:rPr>
          <w:sz w:val="22"/>
        </w:rPr>
        <w:t xml:space="preserve">and per </w:t>
      </w:r>
      <w:r w:rsidR="009E7FD8">
        <w:rPr>
          <w:sz w:val="22"/>
        </w:rPr>
        <w:t>borrower</w:t>
      </w:r>
      <w:r>
        <w:rPr>
          <w:sz w:val="22"/>
        </w:rPr>
        <w:t xml:space="preserve">) for natural persons and sole proprietors and </w:t>
      </w:r>
      <w:r>
        <w:rPr>
          <w:b/>
          <w:bCs/>
          <w:sz w:val="22"/>
        </w:rPr>
        <w:t xml:space="preserve">equal to or exceeding </w:t>
      </w:r>
      <w:r w:rsidR="008B3D2A" w:rsidRPr="00656024">
        <w:rPr>
          <w:b/>
          <w:bCs/>
          <w:sz w:val="22"/>
          <w:lang w:val="en-US"/>
        </w:rPr>
        <w:t>€</w:t>
      </w:r>
      <w:r>
        <w:rPr>
          <w:b/>
          <w:bCs/>
          <w:sz w:val="22"/>
        </w:rPr>
        <w:t>5,000</w:t>
      </w:r>
      <w:r>
        <w:rPr>
          <w:sz w:val="22"/>
        </w:rPr>
        <w:t xml:space="preserve"> (per </w:t>
      </w:r>
      <w:r w:rsidR="009E7FD8">
        <w:rPr>
          <w:sz w:val="22"/>
        </w:rPr>
        <w:t xml:space="preserve">lender </w:t>
      </w:r>
      <w:r>
        <w:rPr>
          <w:sz w:val="22"/>
        </w:rPr>
        <w:t xml:space="preserve">and per </w:t>
      </w:r>
      <w:r w:rsidR="009E7FD8">
        <w:rPr>
          <w:sz w:val="22"/>
        </w:rPr>
        <w:t>borrower</w:t>
      </w:r>
      <w:r>
        <w:rPr>
          <w:sz w:val="22"/>
        </w:rPr>
        <w:t xml:space="preserve">) for legal persons. </w:t>
      </w:r>
    </w:p>
    <w:p w14:paraId="496299D1" w14:textId="4ED598FE" w:rsidR="00773AD8" w:rsidRPr="002F3849" w:rsidRDefault="00773AD8" w:rsidP="00C470F4">
      <w:pPr>
        <w:spacing w:line="360" w:lineRule="auto"/>
        <w:jc w:val="both"/>
        <w:rPr>
          <w:sz w:val="22"/>
          <w:szCs w:val="22"/>
          <w:lang w:val="en-US"/>
        </w:rPr>
      </w:pPr>
      <w:r>
        <w:rPr>
          <w:sz w:val="22"/>
        </w:rPr>
        <w:t xml:space="preserve">Debts below these thresholds are </w:t>
      </w:r>
      <w:r>
        <w:rPr>
          <w:b/>
          <w:bCs/>
          <w:sz w:val="22"/>
        </w:rPr>
        <w:t>not reported</w:t>
      </w:r>
      <w:r>
        <w:rPr>
          <w:sz w:val="22"/>
        </w:rPr>
        <w:t xml:space="preserve"> to the Bank of Greece by </w:t>
      </w:r>
      <w:r w:rsidR="009E7FD8">
        <w:rPr>
          <w:sz w:val="22"/>
        </w:rPr>
        <w:t xml:space="preserve">lenders </w:t>
      </w:r>
      <w:r>
        <w:rPr>
          <w:sz w:val="22"/>
        </w:rPr>
        <w:t>and</w:t>
      </w:r>
      <w:r w:rsidR="0067550D">
        <w:rPr>
          <w:sz w:val="22"/>
        </w:rPr>
        <w:t>,</w:t>
      </w:r>
      <w:r>
        <w:rPr>
          <w:sz w:val="22"/>
        </w:rPr>
        <w:t xml:space="preserve"> therefore</w:t>
      </w:r>
      <w:r w:rsidR="0067550D">
        <w:rPr>
          <w:sz w:val="22"/>
        </w:rPr>
        <w:t>,</w:t>
      </w:r>
      <w:r>
        <w:rPr>
          <w:sz w:val="22"/>
        </w:rPr>
        <w:t xml:space="preserve"> do </w:t>
      </w:r>
      <w:r>
        <w:rPr>
          <w:b/>
          <w:bCs/>
          <w:sz w:val="22"/>
        </w:rPr>
        <w:t>not appear</w:t>
      </w:r>
      <w:r>
        <w:rPr>
          <w:sz w:val="22"/>
        </w:rPr>
        <w:t xml:space="preserve"> on the Credit Report.</w:t>
      </w:r>
    </w:p>
    <w:sectPr w:rsidR="00773AD8" w:rsidRPr="002F3849" w:rsidSect="00BB090A">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276"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BFBC" w14:textId="77777777" w:rsidR="00B62E43" w:rsidRDefault="00B62E43">
      <w:r>
        <w:separator/>
      </w:r>
    </w:p>
  </w:endnote>
  <w:endnote w:type="continuationSeparator" w:id="0">
    <w:p w14:paraId="2FC6641D" w14:textId="77777777" w:rsidR="00B62E43" w:rsidRDefault="00B62E43">
      <w:r>
        <w:continuationSeparator/>
      </w:r>
    </w:p>
  </w:endnote>
  <w:endnote w:type="continuationNotice" w:id="1">
    <w:p w14:paraId="14BADE69" w14:textId="77777777" w:rsidR="00B62E43" w:rsidRDefault="00B62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67D9" w14:textId="77777777" w:rsidR="00686143" w:rsidRDefault="0068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285B" w14:textId="35103426" w:rsidR="00D83BB4" w:rsidRDefault="00D83BB4">
    <w:pPr>
      <w:tabs>
        <w:tab w:val="left" w:pos="2288"/>
      </w:tabs>
      <w:spacing w:line="360" w:lineRule="auto"/>
      <w:ind w:right="360"/>
      <w:rPr>
        <w:sz w:val="14"/>
      </w:rPr>
    </w:pPr>
    <w:r>
      <w:rPr>
        <w:sz w:val="20"/>
      </w:rPr>
      <w:tab/>
    </w:r>
  </w:p>
  <w:p w14:paraId="4F230A38" w14:textId="77777777" w:rsidR="00D83BB4" w:rsidRDefault="00D83BB4">
    <w:pPr>
      <w:pStyle w:val="Footer"/>
      <w:framePr w:wrap="auto" w:vAnchor="text" w:hAnchor="page" w:x="10807" w:y="301"/>
      <w:rPr>
        <w:rFonts w:ascii="Arial" w:hAnsi="Arial" w:cs="Arial"/>
      </w:rPr>
    </w:pPr>
  </w:p>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D83BB4" w14:paraId="2710F471" w14:textId="77777777">
      <w:tc>
        <w:tcPr>
          <w:tcW w:w="4917" w:type="dxa"/>
          <w:tcBorders>
            <w:left w:val="single" w:sz="48" w:space="0" w:color="BC9E6E"/>
          </w:tcBorders>
        </w:tcPr>
        <w:p w14:paraId="3265D128" w14:textId="77777777" w:rsidR="00D83BB4" w:rsidRDefault="00D83BB4" w:rsidP="0063183F">
          <w:pPr>
            <w:pStyle w:val="Footer"/>
            <w:tabs>
              <w:tab w:val="left" w:pos="5220"/>
            </w:tabs>
            <w:spacing w:before="60" w:after="60"/>
            <w:ind w:firstLine="176"/>
            <w:rPr>
              <w:rFonts w:ascii="Arial" w:hAnsi="Arial" w:cs="Arial"/>
              <w:sz w:val="14"/>
            </w:rPr>
          </w:pPr>
          <w:r>
            <w:rPr>
              <w:rFonts w:ascii="Arial" w:hAnsi="Arial"/>
              <w:sz w:val="14"/>
            </w:rPr>
            <w:t>21 El. Venizelos, GR 102 50 Athens</w:t>
          </w:r>
        </w:p>
        <w:p w14:paraId="0715B112" w14:textId="77777777" w:rsidR="00D83BB4" w:rsidRDefault="00D83BB4" w:rsidP="0063183F">
          <w:pPr>
            <w:pStyle w:val="Footer"/>
            <w:tabs>
              <w:tab w:val="left" w:pos="5220"/>
            </w:tabs>
            <w:spacing w:before="60" w:after="60"/>
            <w:ind w:firstLine="176"/>
            <w:rPr>
              <w:rFonts w:ascii="Arial" w:hAnsi="Arial" w:cs="Arial"/>
              <w:sz w:val="14"/>
            </w:rPr>
          </w:pPr>
          <w:r>
            <w:rPr>
              <w:rFonts w:ascii="Arial" w:hAnsi="Arial"/>
              <w:sz w:val="14"/>
            </w:rPr>
            <w:t>Tel: +30 210 320 3446-8</w:t>
          </w:r>
        </w:p>
        <w:p w14:paraId="796C427C" w14:textId="66FE8CFF" w:rsidR="00D83BB4" w:rsidRPr="0063183F" w:rsidRDefault="00D83BB4" w:rsidP="0063183F">
          <w:pPr>
            <w:pStyle w:val="Footer"/>
            <w:tabs>
              <w:tab w:val="left" w:pos="5220"/>
            </w:tabs>
            <w:spacing w:before="60" w:after="60"/>
            <w:ind w:firstLine="176"/>
          </w:pPr>
          <w:hyperlink r:id="rId1" w:history="1">
            <w:r>
              <w:rPr>
                <w:rStyle w:val="Hyperlink"/>
                <w:rFonts w:ascii="Arial" w:hAnsi="Arial"/>
                <w:sz w:val="14"/>
              </w:rPr>
              <w:t>press@bankofgreece.gr</w:t>
            </w:r>
          </w:hyperlink>
          <w:r>
            <w:rPr>
              <w:rFonts w:ascii="Arial" w:hAnsi="Arial"/>
              <w:sz w:val="14"/>
            </w:rPr>
            <w:t xml:space="preserve"> |  </w:t>
          </w:r>
          <w:hyperlink r:id="rId2" w:history="1">
            <w:r>
              <w:rPr>
                <w:rStyle w:val="Hyperlink"/>
                <w:rFonts w:ascii="Arial" w:hAnsi="Arial"/>
                <w:sz w:val="14"/>
              </w:rPr>
              <w:t>www.bankofgreece.gr</w:t>
            </w:r>
          </w:hyperlink>
        </w:p>
      </w:tc>
      <w:tc>
        <w:tcPr>
          <w:tcW w:w="4581" w:type="dxa"/>
        </w:tcPr>
        <w:p w14:paraId="493F93AB" w14:textId="290804DF" w:rsidR="00D83BB4" w:rsidRDefault="00D83BB4">
          <w:pPr>
            <w:pStyle w:val="Footer"/>
            <w:tabs>
              <w:tab w:val="left" w:pos="5220"/>
            </w:tabs>
            <w:spacing w:before="60" w:after="60"/>
            <w:jc w:val="right"/>
            <w:rPr>
              <w:rFonts w:ascii="Arial" w:hAnsi="Arial" w:cs="Arial"/>
              <w:color w:val="auto"/>
              <w:sz w:val="14"/>
            </w:rPr>
          </w:pPr>
          <w:r>
            <w:rPr>
              <w:rFonts w:ascii="Arial" w:hAnsi="Arial" w:cs="Arial"/>
              <w:color w:val="auto"/>
              <w:sz w:val="18"/>
            </w:rPr>
            <w:fldChar w:fldCharType="begin"/>
          </w:r>
          <w:r>
            <w:rPr>
              <w:rFonts w:ascii="Arial" w:hAnsi="Arial" w:cs="Arial"/>
              <w:color w:val="auto"/>
              <w:sz w:val="18"/>
            </w:rPr>
            <w:instrText xml:space="preserve"> PAGE   \* MERGEFORMAT </w:instrText>
          </w:r>
          <w:r>
            <w:rPr>
              <w:rFonts w:ascii="Arial" w:hAnsi="Arial" w:cs="Arial"/>
              <w:color w:val="auto"/>
              <w:sz w:val="18"/>
            </w:rPr>
            <w:fldChar w:fldCharType="separate"/>
          </w:r>
          <w:r w:rsidR="00686143">
            <w:rPr>
              <w:rFonts w:ascii="Arial" w:hAnsi="Arial" w:cs="Arial"/>
              <w:color w:val="auto"/>
              <w:sz w:val="18"/>
            </w:rPr>
            <w:t>1</w:t>
          </w:r>
          <w:r>
            <w:rPr>
              <w:rFonts w:ascii="Arial" w:hAnsi="Arial" w:cs="Arial"/>
              <w:color w:val="auto"/>
              <w:sz w:val="18"/>
            </w:rPr>
            <w:fldChar w:fldCharType="end"/>
          </w:r>
          <w:r>
            <w:rPr>
              <w:rFonts w:ascii="Arial" w:hAnsi="Arial"/>
              <w:color w:val="auto"/>
              <w:sz w:val="18"/>
            </w:rPr>
            <w:t xml:space="preserve"> </w:t>
          </w:r>
          <w:r>
            <w:rPr>
              <w:rFonts w:ascii="Arial Black" w:hAnsi="Arial Black"/>
              <w:b/>
              <w:color w:val="948A54"/>
              <w:sz w:val="22"/>
            </w:rPr>
            <w:t>|</w:t>
          </w:r>
        </w:p>
      </w:tc>
    </w:tr>
  </w:tbl>
  <w:p w14:paraId="507E6D6A" w14:textId="77777777" w:rsidR="00D83BB4" w:rsidRDefault="00D83BB4">
    <w:pPr>
      <w:pStyle w:val="Footer"/>
      <w:ind w:right="360"/>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4521" w14:textId="77777777" w:rsidR="00D83BB4" w:rsidRDefault="00D83BB4">
    <w:pPr>
      <w:pStyle w:val="Footer"/>
      <w:rPr>
        <w:sz w:val="20"/>
        <w:lang w:val="de-DE"/>
      </w:rPr>
    </w:pPr>
  </w:p>
  <w:p w14:paraId="34B9AD79" w14:textId="77777777" w:rsidR="00D83BB4" w:rsidRDefault="00D83BB4">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61DF" w14:textId="77777777" w:rsidR="00B62E43" w:rsidRDefault="00B62E43">
      <w:r>
        <w:separator/>
      </w:r>
    </w:p>
  </w:footnote>
  <w:footnote w:type="continuationSeparator" w:id="0">
    <w:p w14:paraId="7F46358A" w14:textId="77777777" w:rsidR="00B62E43" w:rsidRDefault="00B62E43">
      <w:r>
        <w:continuationSeparator/>
      </w:r>
    </w:p>
  </w:footnote>
  <w:footnote w:type="continuationNotice" w:id="1">
    <w:p w14:paraId="4448098A" w14:textId="77777777" w:rsidR="00B62E43" w:rsidRDefault="00B62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B438" w14:textId="3D9D5D7C" w:rsidR="00686143" w:rsidRDefault="00686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AA89" w14:textId="483F4095" w:rsidR="00686143" w:rsidRDefault="00686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F22B" w14:textId="6BBCE237" w:rsidR="00686143" w:rsidRDefault="00686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918"/>
    <w:multiLevelType w:val="hybridMultilevel"/>
    <w:tmpl w:val="07FCCA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BB4859"/>
    <w:multiLevelType w:val="hybridMultilevel"/>
    <w:tmpl w:val="816ECCF0"/>
    <w:lvl w:ilvl="0" w:tplc="B6880D88">
      <w:start w:val="1"/>
      <w:numFmt w:val="decimal"/>
      <w:lvlText w:val="%1)"/>
      <w:lvlJc w:val="left"/>
      <w:pPr>
        <w:ind w:left="720" w:hanging="360"/>
      </w:pPr>
    </w:lvl>
    <w:lvl w:ilvl="1" w:tplc="A04E3892">
      <w:start w:val="1"/>
      <w:numFmt w:val="decimal"/>
      <w:lvlText w:val="%2)"/>
      <w:lvlJc w:val="left"/>
      <w:pPr>
        <w:ind w:left="720" w:hanging="360"/>
      </w:pPr>
    </w:lvl>
    <w:lvl w:ilvl="2" w:tplc="B5A072E4">
      <w:start w:val="1"/>
      <w:numFmt w:val="decimal"/>
      <w:lvlText w:val="%3)"/>
      <w:lvlJc w:val="left"/>
      <w:pPr>
        <w:ind w:left="720" w:hanging="360"/>
      </w:pPr>
    </w:lvl>
    <w:lvl w:ilvl="3" w:tplc="2C12F49E">
      <w:start w:val="1"/>
      <w:numFmt w:val="decimal"/>
      <w:lvlText w:val="%4)"/>
      <w:lvlJc w:val="left"/>
      <w:pPr>
        <w:ind w:left="720" w:hanging="360"/>
      </w:pPr>
    </w:lvl>
    <w:lvl w:ilvl="4" w:tplc="F8DA5B4C">
      <w:start w:val="1"/>
      <w:numFmt w:val="decimal"/>
      <w:lvlText w:val="%5)"/>
      <w:lvlJc w:val="left"/>
      <w:pPr>
        <w:ind w:left="720" w:hanging="360"/>
      </w:pPr>
    </w:lvl>
    <w:lvl w:ilvl="5" w:tplc="F1028AAE">
      <w:start w:val="1"/>
      <w:numFmt w:val="decimal"/>
      <w:lvlText w:val="%6)"/>
      <w:lvlJc w:val="left"/>
      <w:pPr>
        <w:ind w:left="720" w:hanging="360"/>
      </w:pPr>
    </w:lvl>
    <w:lvl w:ilvl="6" w:tplc="DD80187E">
      <w:start w:val="1"/>
      <w:numFmt w:val="decimal"/>
      <w:lvlText w:val="%7)"/>
      <w:lvlJc w:val="left"/>
      <w:pPr>
        <w:ind w:left="720" w:hanging="360"/>
      </w:pPr>
    </w:lvl>
    <w:lvl w:ilvl="7" w:tplc="FAE268D8">
      <w:start w:val="1"/>
      <w:numFmt w:val="decimal"/>
      <w:lvlText w:val="%8)"/>
      <w:lvlJc w:val="left"/>
      <w:pPr>
        <w:ind w:left="720" w:hanging="360"/>
      </w:pPr>
    </w:lvl>
    <w:lvl w:ilvl="8" w:tplc="AEA21694">
      <w:start w:val="1"/>
      <w:numFmt w:val="decimal"/>
      <w:lvlText w:val="%9)"/>
      <w:lvlJc w:val="left"/>
      <w:pPr>
        <w:ind w:left="720" w:hanging="360"/>
      </w:pPr>
    </w:lvl>
  </w:abstractNum>
  <w:abstractNum w:abstractNumId="2" w15:restartNumberingAfterBreak="0">
    <w:nsid w:val="20C4418D"/>
    <w:multiLevelType w:val="hybridMultilevel"/>
    <w:tmpl w:val="E5CAFEBC"/>
    <w:lvl w:ilvl="0" w:tplc="052CA874">
      <w:start w:val="1"/>
      <w:numFmt w:val="decimal"/>
      <w:lvlText w:val="%1)"/>
      <w:lvlJc w:val="left"/>
      <w:pPr>
        <w:ind w:left="720" w:hanging="360"/>
      </w:pPr>
    </w:lvl>
    <w:lvl w:ilvl="1" w:tplc="FCE8FE0C">
      <w:start w:val="1"/>
      <w:numFmt w:val="decimal"/>
      <w:lvlText w:val="%2)"/>
      <w:lvlJc w:val="left"/>
      <w:pPr>
        <w:ind w:left="720" w:hanging="360"/>
      </w:pPr>
    </w:lvl>
    <w:lvl w:ilvl="2" w:tplc="9D404A34">
      <w:start w:val="1"/>
      <w:numFmt w:val="decimal"/>
      <w:lvlText w:val="%3)"/>
      <w:lvlJc w:val="left"/>
      <w:pPr>
        <w:ind w:left="720" w:hanging="360"/>
      </w:pPr>
    </w:lvl>
    <w:lvl w:ilvl="3" w:tplc="1ED0930A">
      <w:start w:val="1"/>
      <w:numFmt w:val="decimal"/>
      <w:lvlText w:val="%4)"/>
      <w:lvlJc w:val="left"/>
      <w:pPr>
        <w:ind w:left="720" w:hanging="360"/>
      </w:pPr>
    </w:lvl>
    <w:lvl w:ilvl="4" w:tplc="70D28A00">
      <w:start w:val="1"/>
      <w:numFmt w:val="decimal"/>
      <w:lvlText w:val="%5)"/>
      <w:lvlJc w:val="left"/>
      <w:pPr>
        <w:ind w:left="720" w:hanging="360"/>
      </w:pPr>
    </w:lvl>
    <w:lvl w:ilvl="5" w:tplc="879AA4B4">
      <w:start w:val="1"/>
      <w:numFmt w:val="decimal"/>
      <w:lvlText w:val="%6)"/>
      <w:lvlJc w:val="left"/>
      <w:pPr>
        <w:ind w:left="720" w:hanging="360"/>
      </w:pPr>
    </w:lvl>
    <w:lvl w:ilvl="6" w:tplc="2E76D14C">
      <w:start w:val="1"/>
      <w:numFmt w:val="decimal"/>
      <w:lvlText w:val="%7)"/>
      <w:lvlJc w:val="left"/>
      <w:pPr>
        <w:ind w:left="720" w:hanging="360"/>
      </w:pPr>
    </w:lvl>
    <w:lvl w:ilvl="7" w:tplc="F502D528">
      <w:start w:val="1"/>
      <w:numFmt w:val="decimal"/>
      <w:lvlText w:val="%8)"/>
      <w:lvlJc w:val="left"/>
      <w:pPr>
        <w:ind w:left="720" w:hanging="360"/>
      </w:pPr>
    </w:lvl>
    <w:lvl w:ilvl="8" w:tplc="F9DAA2CE">
      <w:start w:val="1"/>
      <w:numFmt w:val="decimal"/>
      <w:lvlText w:val="%9)"/>
      <w:lvlJc w:val="left"/>
      <w:pPr>
        <w:ind w:left="720" w:hanging="360"/>
      </w:pPr>
    </w:lvl>
  </w:abstractNum>
  <w:abstractNum w:abstractNumId="3" w15:restartNumberingAfterBreak="0">
    <w:nsid w:val="2BC56BE2"/>
    <w:multiLevelType w:val="multilevel"/>
    <w:tmpl w:val="1F4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 w15:restartNumberingAfterBreak="0">
    <w:nsid w:val="474D1A07"/>
    <w:multiLevelType w:val="multilevel"/>
    <w:tmpl w:val="5B28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446B5"/>
    <w:multiLevelType w:val="multilevel"/>
    <w:tmpl w:val="8134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9F4D02"/>
    <w:multiLevelType w:val="hybridMultilevel"/>
    <w:tmpl w:val="287C9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6B10327"/>
    <w:multiLevelType w:val="hybridMultilevel"/>
    <w:tmpl w:val="52669D4C"/>
    <w:lvl w:ilvl="0" w:tplc="1D8CD46A">
      <w:start w:val="1"/>
      <w:numFmt w:val="decimal"/>
      <w:lvlText w:val="%1)"/>
      <w:lvlJc w:val="left"/>
      <w:pPr>
        <w:ind w:left="720" w:hanging="360"/>
      </w:pPr>
    </w:lvl>
    <w:lvl w:ilvl="1" w:tplc="81BEF50A">
      <w:start w:val="1"/>
      <w:numFmt w:val="decimal"/>
      <w:lvlText w:val="%2)"/>
      <w:lvlJc w:val="left"/>
      <w:pPr>
        <w:ind w:left="720" w:hanging="360"/>
      </w:pPr>
    </w:lvl>
    <w:lvl w:ilvl="2" w:tplc="0C8809E2">
      <w:start w:val="1"/>
      <w:numFmt w:val="decimal"/>
      <w:lvlText w:val="%3)"/>
      <w:lvlJc w:val="left"/>
      <w:pPr>
        <w:ind w:left="720" w:hanging="360"/>
      </w:pPr>
    </w:lvl>
    <w:lvl w:ilvl="3" w:tplc="9AC0584E">
      <w:start w:val="1"/>
      <w:numFmt w:val="decimal"/>
      <w:lvlText w:val="%4)"/>
      <w:lvlJc w:val="left"/>
      <w:pPr>
        <w:ind w:left="720" w:hanging="360"/>
      </w:pPr>
    </w:lvl>
    <w:lvl w:ilvl="4" w:tplc="3DC03C5E">
      <w:start w:val="1"/>
      <w:numFmt w:val="decimal"/>
      <w:lvlText w:val="%5)"/>
      <w:lvlJc w:val="left"/>
      <w:pPr>
        <w:ind w:left="720" w:hanging="360"/>
      </w:pPr>
    </w:lvl>
    <w:lvl w:ilvl="5" w:tplc="56D81C20">
      <w:start w:val="1"/>
      <w:numFmt w:val="decimal"/>
      <w:lvlText w:val="%6)"/>
      <w:lvlJc w:val="left"/>
      <w:pPr>
        <w:ind w:left="720" w:hanging="360"/>
      </w:pPr>
    </w:lvl>
    <w:lvl w:ilvl="6" w:tplc="7370EFE2">
      <w:start w:val="1"/>
      <w:numFmt w:val="decimal"/>
      <w:lvlText w:val="%7)"/>
      <w:lvlJc w:val="left"/>
      <w:pPr>
        <w:ind w:left="720" w:hanging="360"/>
      </w:pPr>
    </w:lvl>
    <w:lvl w:ilvl="7" w:tplc="32BE12B8">
      <w:start w:val="1"/>
      <w:numFmt w:val="decimal"/>
      <w:lvlText w:val="%8)"/>
      <w:lvlJc w:val="left"/>
      <w:pPr>
        <w:ind w:left="720" w:hanging="360"/>
      </w:pPr>
    </w:lvl>
    <w:lvl w:ilvl="8" w:tplc="8FDC7D78">
      <w:start w:val="1"/>
      <w:numFmt w:val="decimal"/>
      <w:lvlText w:val="%9)"/>
      <w:lvlJc w:val="left"/>
      <w:pPr>
        <w:ind w:left="720" w:hanging="360"/>
      </w:pPr>
    </w:lvl>
  </w:abstractNum>
  <w:abstractNum w:abstractNumId="9" w15:restartNumberingAfterBreak="0">
    <w:nsid w:val="60921D63"/>
    <w:multiLevelType w:val="multilevel"/>
    <w:tmpl w:val="0EC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444FE"/>
    <w:multiLevelType w:val="hybridMultilevel"/>
    <w:tmpl w:val="6F6ACC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7EF190A"/>
    <w:multiLevelType w:val="multilevel"/>
    <w:tmpl w:val="64FA41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912485">
    <w:abstractNumId w:val="4"/>
  </w:num>
  <w:num w:numId="2" w16cid:durableId="2058433147">
    <w:abstractNumId w:val="10"/>
  </w:num>
  <w:num w:numId="3" w16cid:durableId="701441644">
    <w:abstractNumId w:val="8"/>
  </w:num>
  <w:num w:numId="4" w16cid:durableId="2046131689">
    <w:abstractNumId w:val="1"/>
  </w:num>
  <w:num w:numId="5" w16cid:durableId="1014840160">
    <w:abstractNumId w:val="2"/>
  </w:num>
  <w:num w:numId="6" w16cid:durableId="1687634855">
    <w:abstractNumId w:val="7"/>
  </w:num>
  <w:num w:numId="7" w16cid:durableId="2073893348">
    <w:abstractNumId w:val="6"/>
  </w:num>
  <w:num w:numId="8" w16cid:durableId="219899065">
    <w:abstractNumId w:val="3"/>
  </w:num>
  <w:num w:numId="9" w16cid:durableId="915165438">
    <w:abstractNumId w:val="5"/>
  </w:num>
  <w:num w:numId="10" w16cid:durableId="1571229547">
    <w:abstractNumId w:val="9"/>
  </w:num>
  <w:num w:numId="11" w16cid:durableId="814839379">
    <w:abstractNumId w:val="11"/>
  </w:num>
  <w:num w:numId="12" w16cid:durableId="15600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77"/>
    <w:rsid w:val="00001491"/>
    <w:rsid w:val="00001D5D"/>
    <w:rsid w:val="00005783"/>
    <w:rsid w:val="000111A0"/>
    <w:rsid w:val="000206C5"/>
    <w:rsid w:val="00021FB2"/>
    <w:rsid w:val="00022647"/>
    <w:rsid w:val="00022EFD"/>
    <w:rsid w:val="00023908"/>
    <w:rsid w:val="00023952"/>
    <w:rsid w:val="00026C32"/>
    <w:rsid w:val="000451F5"/>
    <w:rsid w:val="00054F30"/>
    <w:rsid w:val="000552AB"/>
    <w:rsid w:val="000605CB"/>
    <w:rsid w:val="00062A2C"/>
    <w:rsid w:val="00062C03"/>
    <w:rsid w:val="00064673"/>
    <w:rsid w:val="00064A19"/>
    <w:rsid w:val="00065E59"/>
    <w:rsid w:val="00066F2D"/>
    <w:rsid w:val="00066F41"/>
    <w:rsid w:val="00072849"/>
    <w:rsid w:val="000732A6"/>
    <w:rsid w:val="00082DAC"/>
    <w:rsid w:val="00084D26"/>
    <w:rsid w:val="000850D6"/>
    <w:rsid w:val="00085519"/>
    <w:rsid w:val="00086819"/>
    <w:rsid w:val="000929FC"/>
    <w:rsid w:val="00095175"/>
    <w:rsid w:val="000B5930"/>
    <w:rsid w:val="000B7C57"/>
    <w:rsid w:val="000C3099"/>
    <w:rsid w:val="000C7C6A"/>
    <w:rsid w:val="000D3411"/>
    <w:rsid w:val="000D739D"/>
    <w:rsid w:val="000F04E7"/>
    <w:rsid w:val="000F4BAE"/>
    <w:rsid w:val="000F7D91"/>
    <w:rsid w:val="00101E36"/>
    <w:rsid w:val="00102452"/>
    <w:rsid w:val="00102974"/>
    <w:rsid w:val="00104A82"/>
    <w:rsid w:val="00105C54"/>
    <w:rsid w:val="0010611D"/>
    <w:rsid w:val="00110D1B"/>
    <w:rsid w:val="00111654"/>
    <w:rsid w:val="00117DB9"/>
    <w:rsid w:val="001211C7"/>
    <w:rsid w:val="00122635"/>
    <w:rsid w:val="00124C74"/>
    <w:rsid w:val="001330F8"/>
    <w:rsid w:val="001441FC"/>
    <w:rsid w:val="00145B40"/>
    <w:rsid w:val="00145B74"/>
    <w:rsid w:val="00147205"/>
    <w:rsid w:val="0015363C"/>
    <w:rsid w:val="001538EB"/>
    <w:rsid w:val="00154551"/>
    <w:rsid w:val="001630C9"/>
    <w:rsid w:val="00163857"/>
    <w:rsid w:val="00164BF2"/>
    <w:rsid w:val="001662E2"/>
    <w:rsid w:val="00172064"/>
    <w:rsid w:val="00172179"/>
    <w:rsid w:val="00175EDB"/>
    <w:rsid w:val="0017764D"/>
    <w:rsid w:val="0018235D"/>
    <w:rsid w:val="001841AE"/>
    <w:rsid w:val="00184FE3"/>
    <w:rsid w:val="00185D95"/>
    <w:rsid w:val="0019171B"/>
    <w:rsid w:val="00191C44"/>
    <w:rsid w:val="001925E8"/>
    <w:rsid w:val="001929C7"/>
    <w:rsid w:val="001A2512"/>
    <w:rsid w:val="001A2BF8"/>
    <w:rsid w:val="001A7443"/>
    <w:rsid w:val="001B4479"/>
    <w:rsid w:val="001B4790"/>
    <w:rsid w:val="001C2601"/>
    <w:rsid w:val="001C2E2A"/>
    <w:rsid w:val="001D0E45"/>
    <w:rsid w:val="001D72A0"/>
    <w:rsid w:val="001E42CE"/>
    <w:rsid w:val="001E497C"/>
    <w:rsid w:val="002020D9"/>
    <w:rsid w:val="002023AB"/>
    <w:rsid w:val="00202EC6"/>
    <w:rsid w:val="002068D3"/>
    <w:rsid w:val="00216ED6"/>
    <w:rsid w:val="00224562"/>
    <w:rsid w:val="0022516A"/>
    <w:rsid w:val="002277B4"/>
    <w:rsid w:val="0023094F"/>
    <w:rsid w:val="002321AD"/>
    <w:rsid w:val="00234014"/>
    <w:rsid w:val="00234B95"/>
    <w:rsid w:val="00234FFF"/>
    <w:rsid w:val="00241DC8"/>
    <w:rsid w:val="00245E6D"/>
    <w:rsid w:val="00245F18"/>
    <w:rsid w:val="00246975"/>
    <w:rsid w:val="002518BB"/>
    <w:rsid w:val="00254BE3"/>
    <w:rsid w:val="002612C8"/>
    <w:rsid w:val="00261AB5"/>
    <w:rsid w:val="00261D33"/>
    <w:rsid w:val="00261EA7"/>
    <w:rsid w:val="00276411"/>
    <w:rsid w:val="00276A39"/>
    <w:rsid w:val="00282D7A"/>
    <w:rsid w:val="00284823"/>
    <w:rsid w:val="00284E75"/>
    <w:rsid w:val="002868D8"/>
    <w:rsid w:val="0028787F"/>
    <w:rsid w:val="0029016D"/>
    <w:rsid w:val="00292E03"/>
    <w:rsid w:val="002A6337"/>
    <w:rsid w:val="002B3AD0"/>
    <w:rsid w:val="002C3A86"/>
    <w:rsid w:val="002C5358"/>
    <w:rsid w:val="002C6033"/>
    <w:rsid w:val="002D4CEE"/>
    <w:rsid w:val="002D69F4"/>
    <w:rsid w:val="002D77E4"/>
    <w:rsid w:val="002F0EF0"/>
    <w:rsid w:val="002F21EC"/>
    <w:rsid w:val="002F2BBD"/>
    <w:rsid w:val="002F3849"/>
    <w:rsid w:val="002F47A4"/>
    <w:rsid w:val="002F48E1"/>
    <w:rsid w:val="002F5E4A"/>
    <w:rsid w:val="002F7699"/>
    <w:rsid w:val="00303777"/>
    <w:rsid w:val="0030561C"/>
    <w:rsid w:val="003057CE"/>
    <w:rsid w:val="003107CB"/>
    <w:rsid w:val="0031126F"/>
    <w:rsid w:val="00312CB2"/>
    <w:rsid w:val="0032784F"/>
    <w:rsid w:val="00334D1C"/>
    <w:rsid w:val="003356C2"/>
    <w:rsid w:val="003377AE"/>
    <w:rsid w:val="003410A7"/>
    <w:rsid w:val="00345F30"/>
    <w:rsid w:val="00350F56"/>
    <w:rsid w:val="00363358"/>
    <w:rsid w:val="003666C3"/>
    <w:rsid w:val="003718A3"/>
    <w:rsid w:val="00376194"/>
    <w:rsid w:val="00386245"/>
    <w:rsid w:val="00390E40"/>
    <w:rsid w:val="0039389C"/>
    <w:rsid w:val="00397602"/>
    <w:rsid w:val="00397E44"/>
    <w:rsid w:val="003A1187"/>
    <w:rsid w:val="003A11C2"/>
    <w:rsid w:val="003A7D0A"/>
    <w:rsid w:val="003B0894"/>
    <w:rsid w:val="003B5A29"/>
    <w:rsid w:val="003C0265"/>
    <w:rsid w:val="003C1CF9"/>
    <w:rsid w:val="003C5901"/>
    <w:rsid w:val="003C694D"/>
    <w:rsid w:val="003C77DD"/>
    <w:rsid w:val="003D6F8B"/>
    <w:rsid w:val="003E0B69"/>
    <w:rsid w:val="003E30E5"/>
    <w:rsid w:val="003E335A"/>
    <w:rsid w:val="003E4A51"/>
    <w:rsid w:val="00401594"/>
    <w:rsid w:val="004034F7"/>
    <w:rsid w:val="004053FD"/>
    <w:rsid w:val="004057C0"/>
    <w:rsid w:val="004121A5"/>
    <w:rsid w:val="00413319"/>
    <w:rsid w:val="004219A6"/>
    <w:rsid w:val="00423A5A"/>
    <w:rsid w:val="004241FF"/>
    <w:rsid w:val="00432C4D"/>
    <w:rsid w:val="0043455B"/>
    <w:rsid w:val="004345BB"/>
    <w:rsid w:val="004348CA"/>
    <w:rsid w:val="00436CB3"/>
    <w:rsid w:val="004422EC"/>
    <w:rsid w:val="00442967"/>
    <w:rsid w:val="0044335A"/>
    <w:rsid w:val="00444D55"/>
    <w:rsid w:val="004471F2"/>
    <w:rsid w:val="00450725"/>
    <w:rsid w:val="004536C9"/>
    <w:rsid w:val="0045436C"/>
    <w:rsid w:val="00454C70"/>
    <w:rsid w:val="00457E5D"/>
    <w:rsid w:val="00464C14"/>
    <w:rsid w:val="00465650"/>
    <w:rsid w:val="00467458"/>
    <w:rsid w:val="0047086F"/>
    <w:rsid w:val="00483E8C"/>
    <w:rsid w:val="00484100"/>
    <w:rsid w:val="004913DE"/>
    <w:rsid w:val="00496565"/>
    <w:rsid w:val="00496AD6"/>
    <w:rsid w:val="004A0529"/>
    <w:rsid w:val="004A3432"/>
    <w:rsid w:val="004A4459"/>
    <w:rsid w:val="004A50F5"/>
    <w:rsid w:val="004B2CEE"/>
    <w:rsid w:val="004B3846"/>
    <w:rsid w:val="004C1BFD"/>
    <w:rsid w:val="004C4D13"/>
    <w:rsid w:val="004C59F1"/>
    <w:rsid w:val="004D06C0"/>
    <w:rsid w:val="004D2105"/>
    <w:rsid w:val="004D664D"/>
    <w:rsid w:val="004D7DBC"/>
    <w:rsid w:val="004E1EF1"/>
    <w:rsid w:val="004E3178"/>
    <w:rsid w:val="004E626E"/>
    <w:rsid w:val="004E6D7F"/>
    <w:rsid w:val="004F0E8A"/>
    <w:rsid w:val="004F483E"/>
    <w:rsid w:val="004F6195"/>
    <w:rsid w:val="00501085"/>
    <w:rsid w:val="005079FF"/>
    <w:rsid w:val="005111D1"/>
    <w:rsid w:val="005113A3"/>
    <w:rsid w:val="00521189"/>
    <w:rsid w:val="00523BA8"/>
    <w:rsid w:val="00524831"/>
    <w:rsid w:val="00525004"/>
    <w:rsid w:val="0052673B"/>
    <w:rsid w:val="005274E6"/>
    <w:rsid w:val="00527E74"/>
    <w:rsid w:val="005308A2"/>
    <w:rsid w:val="00532E9F"/>
    <w:rsid w:val="00534A5E"/>
    <w:rsid w:val="005371CB"/>
    <w:rsid w:val="005508AF"/>
    <w:rsid w:val="00556CAC"/>
    <w:rsid w:val="00562364"/>
    <w:rsid w:val="005632BF"/>
    <w:rsid w:val="00564A14"/>
    <w:rsid w:val="00574E60"/>
    <w:rsid w:val="005772F1"/>
    <w:rsid w:val="00582E68"/>
    <w:rsid w:val="0058713E"/>
    <w:rsid w:val="00590CD1"/>
    <w:rsid w:val="00592A3F"/>
    <w:rsid w:val="00593CE0"/>
    <w:rsid w:val="00594A04"/>
    <w:rsid w:val="005A5350"/>
    <w:rsid w:val="005A6AC2"/>
    <w:rsid w:val="005A7BBB"/>
    <w:rsid w:val="005B2C3C"/>
    <w:rsid w:val="005B4849"/>
    <w:rsid w:val="005B4D7C"/>
    <w:rsid w:val="005C042C"/>
    <w:rsid w:val="005D2B90"/>
    <w:rsid w:val="005D5FB6"/>
    <w:rsid w:val="005D727F"/>
    <w:rsid w:val="005D762B"/>
    <w:rsid w:val="005E13BD"/>
    <w:rsid w:val="005E1C82"/>
    <w:rsid w:val="005E6090"/>
    <w:rsid w:val="005E6D0B"/>
    <w:rsid w:val="005F2793"/>
    <w:rsid w:val="005F29C4"/>
    <w:rsid w:val="006008DD"/>
    <w:rsid w:val="006020E8"/>
    <w:rsid w:val="00602E24"/>
    <w:rsid w:val="00603074"/>
    <w:rsid w:val="006042C9"/>
    <w:rsid w:val="006066EC"/>
    <w:rsid w:val="00607A1E"/>
    <w:rsid w:val="006104C6"/>
    <w:rsid w:val="00610A98"/>
    <w:rsid w:val="00610F9E"/>
    <w:rsid w:val="0061275C"/>
    <w:rsid w:val="00613531"/>
    <w:rsid w:val="00617B2C"/>
    <w:rsid w:val="00620891"/>
    <w:rsid w:val="00621193"/>
    <w:rsid w:val="00621B78"/>
    <w:rsid w:val="006221E0"/>
    <w:rsid w:val="00622D82"/>
    <w:rsid w:val="00624713"/>
    <w:rsid w:val="006309C3"/>
    <w:rsid w:val="0063183F"/>
    <w:rsid w:val="006427BC"/>
    <w:rsid w:val="006429A3"/>
    <w:rsid w:val="0064560A"/>
    <w:rsid w:val="00645DD5"/>
    <w:rsid w:val="00645E0E"/>
    <w:rsid w:val="00647662"/>
    <w:rsid w:val="00651CF9"/>
    <w:rsid w:val="0065407A"/>
    <w:rsid w:val="00656024"/>
    <w:rsid w:val="00660B2F"/>
    <w:rsid w:val="00661412"/>
    <w:rsid w:val="00664759"/>
    <w:rsid w:val="00665B46"/>
    <w:rsid w:val="00670423"/>
    <w:rsid w:val="0067235B"/>
    <w:rsid w:val="00674A36"/>
    <w:rsid w:val="00675204"/>
    <w:rsid w:val="0067550D"/>
    <w:rsid w:val="00676D85"/>
    <w:rsid w:val="006835D3"/>
    <w:rsid w:val="00686143"/>
    <w:rsid w:val="00686D5D"/>
    <w:rsid w:val="00687AB5"/>
    <w:rsid w:val="00690CC1"/>
    <w:rsid w:val="00691076"/>
    <w:rsid w:val="006915C3"/>
    <w:rsid w:val="00691BD7"/>
    <w:rsid w:val="00693ADD"/>
    <w:rsid w:val="0069418C"/>
    <w:rsid w:val="006A2464"/>
    <w:rsid w:val="006A4FB8"/>
    <w:rsid w:val="006A7758"/>
    <w:rsid w:val="006C22A6"/>
    <w:rsid w:val="006C36F3"/>
    <w:rsid w:val="006D3317"/>
    <w:rsid w:val="006D73C2"/>
    <w:rsid w:val="006E2D4E"/>
    <w:rsid w:val="006E46B2"/>
    <w:rsid w:val="006E4AF7"/>
    <w:rsid w:val="006E570F"/>
    <w:rsid w:val="006F407F"/>
    <w:rsid w:val="00701D4E"/>
    <w:rsid w:val="0070262D"/>
    <w:rsid w:val="00702C34"/>
    <w:rsid w:val="00706192"/>
    <w:rsid w:val="007104D5"/>
    <w:rsid w:val="0071084F"/>
    <w:rsid w:val="00712468"/>
    <w:rsid w:val="00713FAD"/>
    <w:rsid w:val="00716718"/>
    <w:rsid w:val="007171C0"/>
    <w:rsid w:val="0071782E"/>
    <w:rsid w:val="00723A29"/>
    <w:rsid w:val="00727A57"/>
    <w:rsid w:val="00730BF1"/>
    <w:rsid w:val="007330C3"/>
    <w:rsid w:val="0073314A"/>
    <w:rsid w:val="00733B6E"/>
    <w:rsid w:val="0073405D"/>
    <w:rsid w:val="00735CA7"/>
    <w:rsid w:val="00742EC1"/>
    <w:rsid w:val="00746CB2"/>
    <w:rsid w:val="00747653"/>
    <w:rsid w:val="007562D9"/>
    <w:rsid w:val="00760B52"/>
    <w:rsid w:val="007656A4"/>
    <w:rsid w:val="00765EC1"/>
    <w:rsid w:val="00766FC9"/>
    <w:rsid w:val="00773AD8"/>
    <w:rsid w:val="00776FE8"/>
    <w:rsid w:val="00783842"/>
    <w:rsid w:val="0078607D"/>
    <w:rsid w:val="00796739"/>
    <w:rsid w:val="007A16DC"/>
    <w:rsid w:val="007A3237"/>
    <w:rsid w:val="007A466A"/>
    <w:rsid w:val="007B21B6"/>
    <w:rsid w:val="007B413C"/>
    <w:rsid w:val="007B4CCF"/>
    <w:rsid w:val="007B60F3"/>
    <w:rsid w:val="007C0889"/>
    <w:rsid w:val="007D2D2C"/>
    <w:rsid w:val="007D4429"/>
    <w:rsid w:val="007D4E43"/>
    <w:rsid w:val="007D7300"/>
    <w:rsid w:val="007E3B77"/>
    <w:rsid w:val="007F276E"/>
    <w:rsid w:val="007F5E04"/>
    <w:rsid w:val="00803A37"/>
    <w:rsid w:val="008052CC"/>
    <w:rsid w:val="00811730"/>
    <w:rsid w:val="00817EF8"/>
    <w:rsid w:val="00821224"/>
    <w:rsid w:val="0082618D"/>
    <w:rsid w:val="008320C8"/>
    <w:rsid w:val="00841DED"/>
    <w:rsid w:val="00843F49"/>
    <w:rsid w:val="00845C0D"/>
    <w:rsid w:val="00847DDA"/>
    <w:rsid w:val="00852147"/>
    <w:rsid w:val="00854588"/>
    <w:rsid w:val="00856028"/>
    <w:rsid w:val="00862B9A"/>
    <w:rsid w:val="0086683D"/>
    <w:rsid w:val="00870363"/>
    <w:rsid w:val="0087202C"/>
    <w:rsid w:val="0087618A"/>
    <w:rsid w:val="008844F1"/>
    <w:rsid w:val="008853B5"/>
    <w:rsid w:val="00887AC6"/>
    <w:rsid w:val="00890565"/>
    <w:rsid w:val="00890AED"/>
    <w:rsid w:val="00894311"/>
    <w:rsid w:val="008A20A0"/>
    <w:rsid w:val="008B2260"/>
    <w:rsid w:val="008B3D2A"/>
    <w:rsid w:val="008B4EB5"/>
    <w:rsid w:val="008C0E63"/>
    <w:rsid w:val="008C1DAC"/>
    <w:rsid w:val="008C1DD7"/>
    <w:rsid w:val="008C311B"/>
    <w:rsid w:val="008C4845"/>
    <w:rsid w:val="008C7867"/>
    <w:rsid w:val="008D2E94"/>
    <w:rsid w:val="008D58ED"/>
    <w:rsid w:val="008D7A62"/>
    <w:rsid w:val="008E009C"/>
    <w:rsid w:val="008E01BE"/>
    <w:rsid w:val="008E2691"/>
    <w:rsid w:val="008E2812"/>
    <w:rsid w:val="008E7A12"/>
    <w:rsid w:val="008F1C16"/>
    <w:rsid w:val="008F5F25"/>
    <w:rsid w:val="00901AA8"/>
    <w:rsid w:val="00903402"/>
    <w:rsid w:val="009062AE"/>
    <w:rsid w:val="00910180"/>
    <w:rsid w:val="00913151"/>
    <w:rsid w:val="00914912"/>
    <w:rsid w:val="009165E0"/>
    <w:rsid w:val="00920F34"/>
    <w:rsid w:val="00921D08"/>
    <w:rsid w:val="00921F68"/>
    <w:rsid w:val="0092264C"/>
    <w:rsid w:val="0093080B"/>
    <w:rsid w:val="00937F0E"/>
    <w:rsid w:val="00941560"/>
    <w:rsid w:val="00941983"/>
    <w:rsid w:val="009643EC"/>
    <w:rsid w:val="009658AF"/>
    <w:rsid w:val="00967007"/>
    <w:rsid w:val="00970EB0"/>
    <w:rsid w:val="0097268C"/>
    <w:rsid w:val="00972A63"/>
    <w:rsid w:val="00975984"/>
    <w:rsid w:val="0098228F"/>
    <w:rsid w:val="00982C04"/>
    <w:rsid w:val="00984960"/>
    <w:rsid w:val="00984AB6"/>
    <w:rsid w:val="00990507"/>
    <w:rsid w:val="00997B9D"/>
    <w:rsid w:val="009A35EC"/>
    <w:rsid w:val="009A37F7"/>
    <w:rsid w:val="009B047D"/>
    <w:rsid w:val="009B29D9"/>
    <w:rsid w:val="009B4788"/>
    <w:rsid w:val="009C123A"/>
    <w:rsid w:val="009C496C"/>
    <w:rsid w:val="009C5DAD"/>
    <w:rsid w:val="009C6F95"/>
    <w:rsid w:val="009D0CAB"/>
    <w:rsid w:val="009D1EA6"/>
    <w:rsid w:val="009D2B13"/>
    <w:rsid w:val="009D32F6"/>
    <w:rsid w:val="009D7591"/>
    <w:rsid w:val="009D7766"/>
    <w:rsid w:val="009E4C2B"/>
    <w:rsid w:val="009E51C1"/>
    <w:rsid w:val="009E51ED"/>
    <w:rsid w:val="009E7FD8"/>
    <w:rsid w:val="00A00B7C"/>
    <w:rsid w:val="00A0439F"/>
    <w:rsid w:val="00A12687"/>
    <w:rsid w:val="00A20337"/>
    <w:rsid w:val="00A264BB"/>
    <w:rsid w:val="00A26A34"/>
    <w:rsid w:val="00A3214B"/>
    <w:rsid w:val="00A339BB"/>
    <w:rsid w:val="00A34E93"/>
    <w:rsid w:val="00A43C1C"/>
    <w:rsid w:val="00A44D39"/>
    <w:rsid w:val="00A46195"/>
    <w:rsid w:val="00A46382"/>
    <w:rsid w:val="00A464A3"/>
    <w:rsid w:val="00A50B3A"/>
    <w:rsid w:val="00A53C9E"/>
    <w:rsid w:val="00A55BF8"/>
    <w:rsid w:val="00A56D43"/>
    <w:rsid w:val="00A62820"/>
    <w:rsid w:val="00A643AC"/>
    <w:rsid w:val="00A64D91"/>
    <w:rsid w:val="00A67523"/>
    <w:rsid w:val="00A772DC"/>
    <w:rsid w:val="00A81817"/>
    <w:rsid w:val="00A81C2A"/>
    <w:rsid w:val="00A8695F"/>
    <w:rsid w:val="00A92E12"/>
    <w:rsid w:val="00AA014D"/>
    <w:rsid w:val="00AA20CF"/>
    <w:rsid w:val="00AA3424"/>
    <w:rsid w:val="00AA74F7"/>
    <w:rsid w:val="00AA76F6"/>
    <w:rsid w:val="00AA7AA3"/>
    <w:rsid w:val="00AA7F35"/>
    <w:rsid w:val="00AB324A"/>
    <w:rsid w:val="00AB35EB"/>
    <w:rsid w:val="00AC0031"/>
    <w:rsid w:val="00AC01DA"/>
    <w:rsid w:val="00AD1FF6"/>
    <w:rsid w:val="00AD2DBF"/>
    <w:rsid w:val="00AD2DF4"/>
    <w:rsid w:val="00AD3A40"/>
    <w:rsid w:val="00AD4104"/>
    <w:rsid w:val="00AD5B51"/>
    <w:rsid w:val="00AD7878"/>
    <w:rsid w:val="00AD794F"/>
    <w:rsid w:val="00AE08D9"/>
    <w:rsid w:val="00AE1EC5"/>
    <w:rsid w:val="00AE3201"/>
    <w:rsid w:val="00AE3B45"/>
    <w:rsid w:val="00AE5581"/>
    <w:rsid w:val="00B01086"/>
    <w:rsid w:val="00B014F3"/>
    <w:rsid w:val="00B04969"/>
    <w:rsid w:val="00B04D71"/>
    <w:rsid w:val="00B07B4C"/>
    <w:rsid w:val="00B10480"/>
    <w:rsid w:val="00B13328"/>
    <w:rsid w:val="00B1560F"/>
    <w:rsid w:val="00B17DEC"/>
    <w:rsid w:val="00B21CB0"/>
    <w:rsid w:val="00B309D2"/>
    <w:rsid w:val="00B36CAD"/>
    <w:rsid w:val="00B47AC0"/>
    <w:rsid w:val="00B50B74"/>
    <w:rsid w:val="00B52BBB"/>
    <w:rsid w:val="00B554FD"/>
    <w:rsid w:val="00B57E5E"/>
    <w:rsid w:val="00B62073"/>
    <w:rsid w:val="00B62A4B"/>
    <w:rsid w:val="00B62E43"/>
    <w:rsid w:val="00B67C9F"/>
    <w:rsid w:val="00B67DE1"/>
    <w:rsid w:val="00B70423"/>
    <w:rsid w:val="00B71F2B"/>
    <w:rsid w:val="00B765B3"/>
    <w:rsid w:val="00B81D8A"/>
    <w:rsid w:val="00B826CE"/>
    <w:rsid w:val="00B8295F"/>
    <w:rsid w:val="00B835A5"/>
    <w:rsid w:val="00B83A3E"/>
    <w:rsid w:val="00B83DB9"/>
    <w:rsid w:val="00B84544"/>
    <w:rsid w:val="00B84863"/>
    <w:rsid w:val="00B877FE"/>
    <w:rsid w:val="00B95ACB"/>
    <w:rsid w:val="00BA077E"/>
    <w:rsid w:val="00BA0D2F"/>
    <w:rsid w:val="00BA6F1B"/>
    <w:rsid w:val="00BB05CB"/>
    <w:rsid w:val="00BB090A"/>
    <w:rsid w:val="00BB5ED1"/>
    <w:rsid w:val="00BC53AF"/>
    <w:rsid w:val="00BD0391"/>
    <w:rsid w:val="00BD03EA"/>
    <w:rsid w:val="00BD4A1A"/>
    <w:rsid w:val="00BD595C"/>
    <w:rsid w:val="00BE0137"/>
    <w:rsid w:val="00BE4C9D"/>
    <w:rsid w:val="00BF104B"/>
    <w:rsid w:val="00BF27DD"/>
    <w:rsid w:val="00BF3D82"/>
    <w:rsid w:val="00BF4E4E"/>
    <w:rsid w:val="00C03E5B"/>
    <w:rsid w:val="00C07083"/>
    <w:rsid w:val="00C17CE0"/>
    <w:rsid w:val="00C23E9E"/>
    <w:rsid w:val="00C24F6D"/>
    <w:rsid w:val="00C3791A"/>
    <w:rsid w:val="00C43DC7"/>
    <w:rsid w:val="00C44C49"/>
    <w:rsid w:val="00C470F4"/>
    <w:rsid w:val="00C52E80"/>
    <w:rsid w:val="00C53D6C"/>
    <w:rsid w:val="00C56E11"/>
    <w:rsid w:val="00C7120B"/>
    <w:rsid w:val="00C715E6"/>
    <w:rsid w:val="00C72CC7"/>
    <w:rsid w:val="00C75FA8"/>
    <w:rsid w:val="00C76B3B"/>
    <w:rsid w:val="00C8383F"/>
    <w:rsid w:val="00C867D6"/>
    <w:rsid w:val="00C875D6"/>
    <w:rsid w:val="00C909EF"/>
    <w:rsid w:val="00C93C7E"/>
    <w:rsid w:val="00C94A86"/>
    <w:rsid w:val="00C94CA3"/>
    <w:rsid w:val="00C95AE5"/>
    <w:rsid w:val="00C970DA"/>
    <w:rsid w:val="00C97385"/>
    <w:rsid w:val="00C97AFF"/>
    <w:rsid w:val="00CA1096"/>
    <w:rsid w:val="00CA1E29"/>
    <w:rsid w:val="00CA4507"/>
    <w:rsid w:val="00CB15AD"/>
    <w:rsid w:val="00CB2C8A"/>
    <w:rsid w:val="00CB36C0"/>
    <w:rsid w:val="00CB3998"/>
    <w:rsid w:val="00CB6FB2"/>
    <w:rsid w:val="00CD1CC1"/>
    <w:rsid w:val="00CD1F0A"/>
    <w:rsid w:val="00CD21EF"/>
    <w:rsid w:val="00CD3625"/>
    <w:rsid w:val="00CD55F3"/>
    <w:rsid w:val="00CD5D77"/>
    <w:rsid w:val="00CE0083"/>
    <w:rsid w:val="00CE3E70"/>
    <w:rsid w:val="00CE4D3F"/>
    <w:rsid w:val="00CE5DA5"/>
    <w:rsid w:val="00CF24D0"/>
    <w:rsid w:val="00CF2B7B"/>
    <w:rsid w:val="00D01FE3"/>
    <w:rsid w:val="00D062A7"/>
    <w:rsid w:val="00D115F8"/>
    <w:rsid w:val="00D12949"/>
    <w:rsid w:val="00D22E63"/>
    <w:rsid w:val="00D25AA8"/>
    <w:rsid w:val="00D27356"/>
    <w:rsid w:val="00D30110"/>
    <w:rsid w:val="00D31E45"/>
    <w:rsid w:val="00D461E6"/>
    <w:rsid w:val="00D509C5"/>
    <w:rsid w:val="00D5630E"/>
    <w:rsid w:val="00D571E0"/>
    <w:rsid w:val="00D6157E"/>
    <w:rsid w:val="00D62D97"/>
    <w:rsid w:val="00D634DC"/>
    <w:rsid w:val="00D735F6"/>
    <w:rsid w:val="00D8046A"/>
    <w:rsid w:val="00D80A09"/>
    <w:rsid w:val="00D819BF"/>
    <w:rsid w:val="00D83BB4"/>
    <w:rsid w:val="00D847B9"/>
    <w:rsid w:val="00D9344C"/>
    <w:rsid w:val="00D95B41"/>
    <w:rsid w:val="00DA3C56"/>
    <w:rsid w:val="00DA430D"/>
    <w:rsid w:val="00DA7EEE"/>
    <w:rsid w:val="00DB1FD7"/>
    <w:rsid w:val="00DC00A0"/>
    <w:rsid w:val="00DC3427"/>
    <w:rsid w:val="00DC49FF"/>
    <w:rsid w:val="00DC551B"/>
    <w:rsid w:val="00DC68FC"/>
    <w:rsid w:val="00DC7484"/>
    <w:rsid w:val="00DC7C79"/>
    <w:rsid w:val="00DD1E88"/>
    <w:rsid w:val="00DD22CE"/>
    <w:rsid w:val="00DD4287"/>
    <w:rsid w:val="00DE5A38"/>
    <w:rsid w:val="00DF043E"/>
    <w:rsid w:val="00DF173B"/>
    <w:rsid w:val="00DF2CC0"/>
    <w:rsid w:val="00DF6CBC"/>
    <w:rsid w:val="00E032C2"/>
    <w:rsid w:val="00E0624A"/>
    <w:rsid w:val="00E073B9"/>
    <w:rsid w:val="00E15DD1"/>
    <w:rsid w:val="00E15E29"/>
    <w:rsid w:val="00E17C83"/>
    <w:rsid w:val="00E23491"/>
    <w:rsid w:val="00E2733B"/>
    <w:rsid w:val="00E27727"/>
    <w:rsid w:val="00E32332"/>
    <w:rsid w:val="00E32A8E"/>
    <w:rsid w:val="00E41BEE"/>
    <w:rsid w:val="00E42671"/>
    <w:rsid w:val="00E4487F"/>
    <w:rsid w:val="00E44E15"/>
    <w:rsid w:val="00E44FD9"/>
    <w:rsid w:val="00E522C8"/>
    <w:rsid w:val="00E6279E"/>
    <w:rsid w:val="00E65FA7"/>
    <w:rsid w:val="00E66EDB"/>
    <w:rsid w:val="00E74C0A"/>
    <w:rsid w:val="00E75E93"/>
    <w:rsid w:val="00E82B35"/>
    <w:rsid w:val="00E82CBF"/>
    <w:rsid w:val="00E83A27"/>
    <w:rsid w:val="00E858A0"/>
    <w:rsid w:val="00E906B5"/>
    <w:rsid w:val="00E930AF"/>
    <w:rsid w:val="00EA0BC5"/>
    <w:rsid w:val="00EA5543"/>
    <w:rsid w:val="00EA6E53"/>
    <w:rsid w:val="00EB07C3"/>
    <w:rsid w:val="00EB0F2F"/>
    <w:rsid w:val="00EB63AD"/>
    <w:rsid w:val="00EB6A8C"/>
    <w:rsid w:val="00EC17B5"/>
    <w:rsid w:val="00EC36BD"/>
    <w:rsid w:val="00EC3DA2"/>
    <w:rsid w:val="00ED0BFC"/>
    <w:rsid w:val="00ED1014"/>
    <w:rsid w:val="00ED2E25"/>
    <w:rsid w:val="00ED6FED"/>
    <w:rsid w:val="00EE5B75"/>
    <w:rsid w:val="00EE6974"/>
    <w:rsid w:val="00EF0AA0"/>
    <w:rsid w:val="00EF153F"/>
    <w:rsid w:val="00EF1A58"/>
    <w:rsid w:val="00EF207E"/>
    <w:rsid w:val="00EF4E57"/>
    <w:rsid w:val="00F034FB"/>
    <w:rsid w:val="00F17826"/>
    <w:rsid w:val="00F24C28"/>
    <w:rsid w:val="00F252A3"/>
    <w:rsid w:val="00F3176C"/>
    <w:rsid w:val="00F34446"/>
    <w:rsid w:val="00F3481F"/>
    <w:rsid w:val="00F34BF7"/>
    <w:rsid w:val="00F34E49"/>
    <w:rsid w:val="00F401AE"/>
    <w:rsid w:val="00F41C82"/>
    <w:rsid w:val="00F4263A"/>
    <w:rsid w:val="00F42BBB"/>
    <w:rsid w:val="00F51196"/>
    <w:rsid w:val="00F5385C"/>
    <w:rsid w:val="00F54D14"/>
    <w:rsid w:val="00F5553E"/>
    <w:rsid w:val="00F64EAC"/>
    <w:rsid w:val="00F66D72"/>
    <w:rsid w:val="00F72815"/>
    <w:rsid w:val="00F72A94"/>
    <w:rsid w:val="00F752B3"/>
    <w:rsid w:val="00F770E4"/>
    <w:rsid w:val="00F83D30"/>
    <w:rsid w:val="00F91825"/>
    <w:rsid w:val="00F920F4"/>
    <w:rsid w:val="00F9530F"/>
    <w:rsid w:val="00FA326B"/>
    <w:rsid w:val="00FA6B3F"/>
    <w:rsid w:val="00FB0366"/>
    <w:rsid w:val="00FB454A"/>
    <w:rsid w:val="00FB46B8"/>
    <w:rsid w:val="00FB536D"/>
    <w:rsid w:val="00FC1877"/>
    <w:rsid w:val="00FC4349"/>
    <w:rsid w:val="00FC4886"/>
    <w:rsid w:val="00FC5F11"/>
    <w:rsid w:val="00FD36E3"/>
    <w:rsid w:val="00FD457F"/>
    <w:rsid w:val="00FD6E61"/>
    <w:rsid w:val="00FE2334"/>
    <w:rsid w:val="00FE2460"/>
    <w:rsid w:val="00FE35B3"/>
    <w:rsid w:val="00FE680A"/>
    <w:rsid w:val="00FE77EF"/>
    <w:rsid w:val="00FF1489"/>
    <w:rsid w:val="00FF75A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5DD3"/>
  <w15:chartTrackingRefBased/>
  <w15:docId w15:val="{68B8BEE9-AF8B-4797-81A5-9A7DC363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77"/>
    <w:pPr>
      <w:spacing w:after="0" w:line="240" w:lineRule="auto"/>
    </w:pPr>
    <w:rPr>
      <w:rFonts w:ascii="Arial" w:eastAsia="Times New Roman" w:hAnsi="Arial" w:cs="Arial"/>
      <w:color w:val="000000"/>
      <w:kern w:val="0"/>
      <w:sz w:val="24"/>
      <w:szCs w:val="20"/>
      <w:lang w:eastAsia="el-GR"/>
    </w:rPr>
  </w:style>
  <w:style w:type="paragraph" w:styleId="Heading1">
    <w:name w:val="heading 1"/>
    <w:basedOn w:val="Normal"/>
    <w:next w:val="Normal"/>
    <w:link w:val="Heading1Char"/>
    <w:qFormat/>
    <w:rsid w:val="007E3B77"/>
    <w:pPr>
      <w:keepNext/>
      <w:spacing w:line="360" w:lineRule="auto"/>
      <w:ind w:firstLine="720"/>
      <w:jc w:val="both"/>
      <w:outlineLvl w:val="0"/>
    </w:pPr>
    <w:rPr>
      <w:i/>
      <w:sz w:val="22"/>
      <w:u w:val="single"/>
    </w:rPr>
  </w:style>
  <w:style w:type="paragraph" w:styleId="Heading2">
    <w:name w:val="heading 2"/>
    <w:basedOn w:val="Normal"/>
    <w:next w:val="Normal"/>
    <w:link w:val="Heading2Char"/>
    <w:uiPriority w:val="9"/>
    <w:semiHidden/>
    <w:unhideWhenUsed/>
    <w:qFormat/>
    <w:rsid w:val="001441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7E3B77"/>
    <w:pPr>
      <w:keepNext/>
      <w:spacing w:line="360" w:lineRule="auto"/>
      <w:ind w:left="851" w:right="340"/>
      <w:jc w:val="both"/>
      <w:outlineLvl w:val="5"/>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B77"/>
    <w:rPr>
      <w:rFonts w:ascii="Arial" w:eastAsia="Times New Roman" w:hAnsi="Arial" w:cs="Arial"/>
      <w:i/>
      <w:color w:val="000000"/>
      <w:kern w:val="0"/>
      <w:szCs w:val="20"/>
      <w:u w:val="single"/>
      <w:lang w:eastAsia="el-GR"/>
    </w:rPr>
  </w:style>
  <w:style w:type="character" w:customStyle="1" w:styleId="Heading6Char">
    <w:name w:val="Heading 6 Char"/>
    <w:basedOn w:val="DefaultParagraphFont"/>
    <w:link w:val="Heading6"/>
    <w:rsid w:val="007E3B77"/>
    <w:rPr>
      <w:rFonts w:ascii="Arial" w:eastAsia="Times New Roman" w:hAnsi="Arial" w:cs="Arial"/>
      <w:i/>
      <w:color w:val="000000"/>
      <w:kern w:val="0"/>
      <w:sz w:val="20"/>
      <w:szCs w:val="20"/>
      <w:lang w:eastAsia="el-GR"/>
    </w:rPr>
  </w:style>
  <w:style w:type="paragraph" w:styleId="Footer">
    <w:name w:val="footer"/>
    <w:basedOn w:val="Normal"/>
    <w:link w:val="FooterChar"/>
    <w:uiPriority w:val="99"/>
    <w:rsid w:val="007E3B77"/>
    <w:pPr>
      <w:tabs>
        <w:tab w:val="center" w:pos="4153"/>
        <w:tab w:val="right" w:pos="8306"/>
      </w:tabs>
    </w:pPr>
    <w:rPr>
      <w:rFonts w:ascii="Times New Roman" w:hAnsi="Times New Roman" w:cs="Times New Roman"/>
    </w:rPr>
  </w:style>
  <w:style w:type="character" w:customStyle="1" w:styleId="FooterChar">
    <w:name w:val="Footer Char"/>
    <w:basedOn w:val="DefaultParagraphFont"/>
    <w:link w:val="Footer"/>
    <w:uiPriority w:val="99"/>
    <w:rsid w:val="007E3B77"/>
    <w:rPr>
      <w:rFonts w:ascii="Times New Roman" w:eastAsia="Times New Roman" w:hAnsi="Times New Roman" w:cs="Times New Roman"/>
      <w:color w:val="000000"/>
      <w:kern w:val="0"/>
      <w:sz w:val="24"/>
      <w:szCs w:val="20"/>
      <w:lang w:val="en-GB" w:eastAsia="el-GR"/>
    </w:rPr>
  </w:style>
  <w:style w:type="paragraph" w:styleId="BodyText">
    <w:name w:val="Body Text"/>
    <w:basedOn w:val="Normal"/>
    <w:link w:val="BodyTextChar"/>
    <w:rsid w:val="007E3B77"/>
    <w:pPr>
      <w:jc w:val="both"/>
    </w:pPr>
    <w:rPr>
      <w:rFonts w:ascii="Times New Roman" w:hAnsi="Times New Roman" w:cs="Times New Roman"/>
    </w:rPr>
  </w:style>
  <w:style w:type="character" w:customStyle="1" w:styleId="BodyTextChar">
    <w:name w:val="Body Text Char"/>
    <w:basedOn w:val="DefaultParagraphFont"/>
    <w:link w:val="BodyText"/>
    <w:rsid w:val="007E3B77"/>
    <w:rPr>
      <w:rFonts w:ascii="Times New Roman" w:eastAsia="Times New Roman" w:hAnsi="Times New Roman" w:cs="Times New Roman"/>
      <w:color w:val="000000"/>
      <w:kern w:val="0"/>
      <w:sz w:val="24"/>
      <w:szCs w:val="20"/>
      <w:lang w:eastAsia="el-GR"/>
    </w:rPr>
  </w:style>
  <w:style w:type="character" w:styleId="Hyperlink">
    <w:name w:val="Hyperlink"/>
    <w:uiPriority w:val="99"/>
    <w:unhideWhenUsed/>
    <w:rsid w:val="007E3B77"/>
    <w:rPr>
      <w:color w:val="0000FF"/>
      <w:u w:val="single"/>
    </w:rPr>
  </w:style>
  <w:style w:type="paragraph" w:styleId="Revision">
    <w:name w:val="Revision"/>
    <w:hidden/>
    <w:uiPriority w:val="99"/>
    <w:semiHidden/>
    <w:rsid w:val="009D7766"/>
    <w:pPr>
      <w:spacing w:after="0" w:line="240" w:lineRule="auto"/>
    </w:pPr>
    <w:rPr>
      <w:rFonts w:ascii="Arial" w:eastAsia="Times New Roman" w:hAnsi="Arial" w:cs="Arial"/>
      <w:color w:val="000000"/>
      <w:kern w:val="0"/>
      <w:sz w:val="24"/>
      <w:szCs w:val="20"/>
      <w:lang w:eastAsia="el-GR"/>
    </w:rPr>
  </w:style>
  <w:style w:type="paragraph" w:styleId="Header">
    <w:name w:val="header"/>
    <w:basedOn w:val="Normal"/>
    <w:link w:val="HeaderChar"/>
    <w:uiPriority w:val="99"/>
    <w:unhideWhenUsed/>
    <w:rsid w:val="002F48E1"/>
    <w:pPr>
      <w:tabs>
        <w:tab w:val="center" w:pos="4320"/>
        <w:tab w:val="right" w:pos="8640"/>
      </w:tabs>
    </w:pPr>
  </w:style>
  <w:style w:type="character" w:customStyle="1" w:styleId="HeaderChar">
    <w:name w:val="Header Char"/>
    <w:basedOn w:val="DefaultParagraphFont"/>
    <w:link w:val="Header"/>
    <w:uiPriority w:val="99"/>
    <w:rsid w:val="002F48E1"/>
    <w:rPr>
      <w:rFonts w:ascii="Arial" w:eastAsia="Times New Roman" w:hAnsi="Arial" w:cs="Arial"/>
      <w:color w:val="000000"/>
      <w:kern w:val="0"/>
      <w:sz w:val="24"/>
      <w:szCs w:val="20"/>
      <w:lang w:val="en-GB" w:eastAsia="el-GR"/>
    </w:rPr>
  </w:style>
  <w:style w:type="character" w:styleId="CommentReference">
    <w:name w:val="annotation reference"/>
    <w:basedOn w:val="DefaultParagraphFont"/>
    <w:uiPriority w:val="99"/>
    <w:semiHidden/>
    <w:unhideWhenUsed/>
    <w:rsid w:val="00F252A3"/>
    <w:rPr>
      <w:sz w:val="16"/>
      <w:szCs w:val="16"/>
    </w:rPr>
  </w:style>
  <w:style w:type="paragraph" w:styleId="CommentText">
    <w:name w:val="annotation text"/>
    <w:basedOn w:val="Normal"/>
    <w:link w:val="CommentTextChar"/>
    <w:uiPriority w:val="99"/>
    <w:unhideWhenUsed/>
    <w:rsid w:val="00F252A3"/>
    <w:rPr>
      <w:sz w:val="20"/>
    </w:rPr>
  </w:style>
  <w:style w:type="character" w:customStyle="1" w:styleId="CommentTextChar">
    <w:name w:val="Comment Text Char"/>
    <w:basedOn w:val="DefaultParagraphFont"/>
    <w:link w:val="CommentText"/>
    <w:uiPriority w:val="99"/>
    <w:rsid w:val="00F252A3"/>
    <w:rPr>
      <w:rFonts w:ascii="Arial" w:eastAsia="Times New Roman" w:hAnsi="Arial" w:cs="Arial"/>
      <w:color w:val="000000"/>
      <w:kern w:val="0"/>
      <w:sz w:val="20"/>
      <w:szCs w:val="20"/>
      <w:lang w:val="en-GB" w:eastAsia="el-GR"/>
    </w:rPr>
  </w:style>
  <w:style w:type="paragraph" w:styleId="CommentSubject">
    <w:name w:val="annotation subject"/>
    <w:basedOn w:val="CommentText"/>
    <w:next w:val="CommentText"/>
    <w:link w:val="CommentSubjectChar"/>
    <w:uiPriority w:val="99"/>
    <w:semiHidden/>
    <w:unhideWhenUsed/>
    <w:rsid w:val="00F252A3"/>
    <w:rPr>
      <w:b/>
      <w:bCs/>
    </w:rPr>
  </w:style>
  <w:style w:type="character" w:customStyle="1" w:styleId="CommentSubjectChar">
    <w:name w:val="Comment Subject Char"/>
    <w:basedOn w:val="CommentTextChar"/>
    <w:link w:val="CommentSubject"/>
    <w:uiPriority w:val="99"/>
    <w:semiHidden/>
    <w:rsid w:val="00F252A3"/>
    <w:rPr>
      <w:rFonts w:ascii="Arial" w:eastAsia="Times New Roman" w:hAnsi="Arial" w:cs="Arial"/>
      <w:b/>
      <w:bCs/>
      <w:color w:val="000000"/>
      <w:kern w:val="0"/>
      <w:sz w:val="20"/>
      <w:szCs w:val="20"/>
      <w:lang w:val="en-GB" w:eastAsia="el-GR"/>
    </w:rPr>
  </w:style>
  <w:style w:type="character" w:styleId="FollowedHyperlink">
    <w:name w:val="FollowedHyperlink"/>
    <w:basedOn w:val="DefaultParagraphFont"/>
    <w:uiPriority w:val="99"/>
    <w:semiHidden/>
    <w:unhideWhenUsed/>
    <w:rsid w:val="004E3178"/>
    <w:rPr>
      <w:color w:val="954F72" w:themeColor="followedHyperlink"/>
      <w:u w:val="single"/>
    </w:rPr>
  </w:style>
  <w:style w:type="paragraph" w:styleId="BalloonText">
    <w:name w:val="Balloon Text"/>
    <w:basedOn w:val="Normal"/>
    <w:link w:val="BalloonTextChar"/>
    <w:uiPriority w:val="99"/>
    <w:semiHidden/>
    <w:unhideWhenUsed/>
    <w:rsid w:val="00122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35"/>
    <w:rPr>
      <w:rFonts w:ascii="Segoe UI" w:eastAsia="Times New Roman" w:hAnsi="Segoe UI" w:cs="Segoe UI"/>
      <w:color w:val="000000"/>
      <w:kern w:val="0"/>
      <w:sz w:val="18"/>
      <w:szCs w:val="18"/>
      <w:lang w:val="en-GB" w:eastAsia="el-GR"/>
    </w:rPr>
  </w:style>
  <w:style w:type="character" w:customStyle="1" w:styleId="UnresolvedMention1">
    <w:name w:val="Unresolved Mention1"/>
    <w:basedOn w:val="DefaultParagraphFont"/>
    <w:uiPriority w:val="99"/>
    <w:semiHidden/>
    <w:unhideWhenUsed/>
    <w:rsid w:val="00147205"/>
    <w:rPr>
      <w:color w:val="605E5C"/>
      <w:shd w:val="clear" w:color="auto" w:fill="E1DFDD"/>
    </w:rPr>
  </w:style>
  <w:style w:type="character" w:customStyle="1" w:styleId="UnresolvedMention2">
    <w:name w:val="Unresolved Mention2"/>
    <w:basedOn w:val="DefaultParagraphFont"/>
    <w:uiPriority w:val="99"/>
    <w:semiHidden/>
    <w:unhideWhenUsed/>
    <w:rsid w:val="00610A98"/>
    <w:rPr>
      <w:color w:val="605E5C"/>
      <w:shd w:val="clear" w:color="auto" w:fill="E1DFDD"/>
    </w:rPr>
  </w:style>
  <w:style w:type="paragraph" w:styleId="ListParagraph">
    <w:name w:val="List Paragraph"/>
    <w:basedOn w:val="Normal"/>
    <w:uiPriority w:val="34"/>
    <w:qFormat/>
    <w:rsid w:val="001441FC"/>
    <w:pPr>
      <w:ind w:left="720"/>
      <w:contextualSpacing/>
    </w:pPr>
  </w:style>
  <w:style w:type="character" w:customStyle="1" w:styleId="Heading2Char">
    <w:name w:val="Heading 2 Char"/>
    <w:basedOn w:val="DefaultParagraphFont"/>
    <w:link w:val="Heading2"/>
    <w:uiPriority w:val="9"/>
    <w:semiHidden/>
    <w:rsid w:val="001441FC"/>
    <w:rPr>
      <w:rFonts w:asciiTheme="majorHAnsi" w:eastAsiaTheme="majorEastAsia" w:hAnsiTheme="majorHAnsi" w:cstheme="majorBidi"/>
      <w:color w:val="2F5496" w:themeColor="accent1" w:themeShade="BF"/>
      <w:kern w:val="0"/>
      <w:sz w:val="26"/>
      <w:szCs w:val="26"/>
      <w:lang w:val="en-GB" w:eastAsia="el-GR"/>
    </w:rPr>
  </w:style>
  <w:style w:type="character" w:customStyle="1" w:styleId="UnresolvedMention3">
    <w:name w:val="Unresolved Mention3"/>
    <w:basedOn w:val="DefaultParagraphFont"/>
    <w:uiPriority w:val="99"/>
    <w:semiHidden/>
    <w:unhideWhenUsed/>
    <w:rsid w:val="00363358"/>
    <w:rPr>
      <w:color w:val="605E5C"/>
      <w:shd w:val="clear" w:color="auto" w:fill="E1DFDD"/>
    </w:rPr>
  </w:style>
  <w:style w:type="paragraph" w:styleId="NormalWeb">
    <w:name w:val="Normal (Web)"/>
    <w:basedOn w:val="Normal"/>
    <w:uiPriority w:val="99"/>
    <w:unhideWhenUsed/>
    <w:rsid w:val="009C496C"/>
    <w:pPr>
      <w:spacing w:before="100" w:beforeAutospacing="1" w:after="100" w:afterAutospacing="1"/>
    </w:pPr>
    <w:rPr>
      <w:rFonts w:ascii="Times New Roman" w:hAnsi="Times New Roman" w:cs="Times New Roman"/>
      <w:color w:val="auto"/>
      <w:szCs w:val="24"/>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TitleBackup xmlns="8e878111-5d44-4ac0-8d7d-001e9b3d0fd0">Central Credit Register (CCR) – Answers to Frequently Asked Questions</TitleBackup>
    <AlternateText xmlns="a029a951-197a-4454-90a0-4e8ba8bb2239">Central Credit Register (CCR) – Answers to Frequently Asked Questions</AlternateText>
    <RelatedEntity xmlns="8e878111-5d44-4ac0-8d7d-001e9b3d0fd0" xsi:nil="true"/>
    <CEID xmlns="a029a951-197a-4454-90a0-4e8ba8bb2239">7c11b57d-7a6a-4040-8b91-4d69559d31f7</CEID>
    <ParentEntity xmlns="8e878111-5d44-4ac0-8d7d-001e9b3d0fd0" xsi:nil="true"/>
    <TitleEn xmlns="a029a951-197a-4454-90a0-4e8ba8bb2239" xsi:nil="true"/>
    <ItemOrder xmlns="a029a951-197a-4454-90a0-4e8ba8bb2239" xsi:nil="true"/>
    <DisplayTitle xmlns="8e878111-5d44-4ac0-8d7d-001e9b3d0fd0">Central Credit Register (CCR) – Answers to Frequently Asked Questions</DisplayTitle>
    <ContentDate xmlns="a029a951-197a-4454-90a0-4e8ba8bb2239">2026-01-22T22:00:00+00:00</ContentDate>
    <OrganizationalUnit xmlns="8e878111-5d44-4ac0-8d7d-001e9b3d0fd0">55</OrganizationalUnit>
    <ShowInContentGroups xmlns="a029a951-197a-4454-90a0-4e8ba8bb2239"/>
    <Topic xmlns="8e878111-5d44-4ac0-8d7d-001e9b3d0fd0">120</Topic>
    <Source xmlns="8e878111-5d44-4ac0-8d7d-001e9b3d0fd0" xsi:nil="true"/>
    <AModifiedBy xmlns="a029a951-197a-4454-90a0-4e8ba8bb2239">Gourna Maria Aliki</AModifiedBy>
    <AModified xmlns="a029a951-197a-4454-90a0-4e8ba8bb2239">2026-01-29T09:44:23+00:00</AModified>
    <AID xmlns="a029a951-197a-4454-90a0-4e8ba8bb2239">36479</AID>
    <ACreated xmlns="a029a951-197a-4454-90a0-4e8ba8bb2239">2026-01-28T13:20:07+00:00</ACreated>
    <ACreatedBy xmlns="a029a951-197a-4454-90a0-4e8ba8bb2239">Gourna Maria Aliki</ACreatedBy>
    <AVersion xmlns="a029a951-197a-4454-90a0-4e8ba8bb2239">4.0</AVersion>
  </documentManagement>
</p:properties>
</file>

<file path=customXml/itemProps1.xml><?xml version="1.0" encoding="utf-8"?>
<ds:datastoreItem xmlns:ds="http://schemas.openxmlformats.org/officeDocument/2006/customXml" ds:itemID="{6F30DCAE-DC9D-4992-B195-7B74C2D46AA2}">
  <ds:schemaRefs>
    <ds:schemaRef ds:uri="http://schemas.openxmlformats.org/officeDocument/2006/bibliography"/>
  </ds:schemaRefs>
</ds:datastoreItem>
</file>

<file path=customXml/itemProps2.xml><?xml version="1.0" encoding="utf-8"?>
<ds:datastoreItem xmlns:ds="http://schemas.openxmlformats.org/officeDocument/2006/customXml" ds:itemID="{F4760EE2-30B0-4B13-B854-E785E3FE66C0}"/>
</file>

<file path=customXml/itemProps3.xml><?xml version="1.0" encoding="utf-8"?>
<ds:datastoreItem xmlns:ds="http://schemas.openxmlformats.org/officeDocument/2006/customXml" ds:itemID="{227620D8-E7B8-42E0-AF06-586A95B82F16}">
  <ds:schemaRefs>
    <ds:schemaRef ds:uri="http://schemas.microsoft.com/sharepoint/v3/contenttype/forms"/>
  </ds:schemaRefs>
</ds:datastoreItem>
</file>

<file path=customXml/itemProps4.xml><?xml version="1.0" encoding="utf-8"?>
<ds:datastoreItem xmlns:ds="http://schemas.openxmlformats.org/officeDocument/2006/customXml" ds:itemID="{2A2AA96E-C28C-4C03-8290-CB7DEDC093AE}">
  <ds:schemaRefs>
    <ds:schemaRef ds:uri="http://schemas.microsoft.com/office/2006/metadata/properties"/>
    <ds:schemaRef ds:uri="http://schemas.microsoft.com/office/infopath/2007/PartnerControls"/>
    <ds:schemaRef ds:uri="bc2344aa-db5f-4b5a-8aaf-68f588fcd3cc"/>
    <ds:schemaRef ds:uri="b40b93df-f890-4fa5-8110-64a4ab2cd75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743</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Credit Register (CCR) – Answers to Frequently Asked Questions</dc:title>
  <dc:subject/>
  <dc:creator>STYLOS, Alexandros</dc:creator>
  <cp:keywords/>
  <dc:description/>
  <cp:lastModifiedBy>PANAGIOTOPOULOU, Antigoni</cp:lastModifiedBy>
  <cp:revision>6</cp:revision>
  <dcterms:created xsi:type="dcterms:W3CDTF">2026-01-27T13:04:00Z</dcterms:created>
  <dcterms:modified xsi:type="dcterms:W3CDTF">2026-01-28T13:50:00Z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2026-01-23T10:27:56Z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61131fa5-ac57-46be-a9f3-a1f1e12bf0f3</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y fmtid="{D5CDD505-2E9C-101B-9397-08002B2CF9AE}" pid="10" name="ContentTypeId">
    <vt:lpwstr>0x010100C99F32645853284EB835B50D610223A1010100A120E579C51EAB44A46ECBD0880E5BC6</vt:lpwstr>
  </property>
  <property fmtid="{D5CDD505-2E9C-101B-9397-08002B2CF9AE}" pid="11" name="Order">
    <vt:r8>3647900</vt:r8>
  </property>
  <property fmtid="{D5CDD505-2E9C-101B-9397-08002B2CF9AE}" pid="12" name="xd_ProgID">
    <vt:lpwstr/>
  </property>
  <property fmtid="{D5CDD505-2E9C-101B-9397-08002B2CF9AE}" pid="13" name="_SharedFileIndex">
    <vt:lpwstr/>
  </property>
  <property fmtid="{D5CDD505-2E9C-101B-9397-08002B2CF9AE}" pid="14" name="_SourceUrl">
    <vt:lpwstr/>
  </property>
  <property fmtid="{D5CDD505-2E9C-101B-9397-08002B2CF9AE}" pid="15" name="TemplateUrl">
    <vt:lpwstr/>
  </property>
</Properties>
</file>