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435" w:rsidRPr="003152D1" w:rsidRDefault="00F17435" w:rsidP="003152D1">
      <w:pPr>
        <w:spacing w:after="0" w:line="240" w:lineRule="auto"/>
        <w:jc w:val="center"/>
        <w:rPr>
          <w:rFonts w:ascii="Arial" w:eastAsia="Times New Roman" w:hAnsi="Arial" w:cs="Arial"/>
          <w:b/>
          <w:w w:val="90"/>
          <w:sz w:val="24"/>
          <w:szCs w:val="24"/>
          <w:lang w:val="en-GB" w:eastAsia="el-GR"/>
        </w:rPr>
      </w:pPr>
      <w:r w:rsidRPr="003152D1">
        <w:rPr>
          <w:rFonts w:ascii="Arial" w:eastAsia="Times New Roman" w:hAnsi="Arial" w:cs="Arial"/>
          <w:b/>
          <w:w w:val="90"/>
          <w:sz w:val="24"/>
          <w:szCs w:val="24"/>
          <w:lang w:val="en-GB" w:eastAsia="el-GR"/>
        </w:rPr>
        <w:t>Article 5</w:t>
      </w:r>
    </w:p>
    <w:p w:rsidR="00F17435" w:rsidRPr="003152D1" w:rsidRDefault="00F17435" w:rsidP="003152D1">
      <w:pPr>
        <w:spacing w:after="0" w:line="240" w:lineRule="auto"/>
        <w:jc w:val="center"/>
        <w:rPr>
          <w:rFonts w:ascii="Arial" w:eastAsia="Times New Roman" w:hAnsi="Arial" w:cs="Arial"/>
          <w:color w:val="000000"/>
          <w:w w:val="90"/>
          <w:sz w:val="24"/>
          <w:szCs w:val="24"/>
          <w:lang w:val="en-GB" w:eastAsia="el-GR"/>
        </w:rPr>
      </w:pPr>
      <w:r w:rsidRPr="003152D1">
        <w:rPr>
          <w:rFonts w:ascii="Arial" w:eastAsia="Times New Roman" w:hAnsi="Arial" w:cs="Arial"/>
          <w:b/>
          <w:w w:val="90"/>
          <w:sz w:val="24"/>
          <w:szCs w:val="24"/>
          <w:lang w:val="en-GB" w:eastAsia="el-GR"/>
        </w:rPr>
        <w:t xml:space="preserve">Transaction relations between </w:t>
      </w:r>
      <w:r w:rsidRPr="003152D1">
        <w:rPr>
          <w:rFonts w:ascii="Arial" w:eastAsia="Times New Roman" w:hAnsi="Arial" w:cs="Arial"/>
          <w:b/>
          <w:color w:val="000000"/>
          <w:w w:val="90"/>
          <w:sz w:val="24"/>
          <w:szCs w:val="24"/>
          <w:lang w:val="en-GB" w:eastAsia="el-GR"/>
        </w:rPr>
        <w:t>insurance distributors and between themselves and their customers</w:t>
      </w:r>
    </w:p>
    <w:p w:rsidR="00F17435" w:rsidRPr="003152D1" w:rsidRDefault="00F17435" w:rsidP="003152D1">
      <w:pPr>
        <w:spacing w:after="0" w:line="240" w:lineRule="auto"/>
        <w:jc w:val="both"/>
        <w:rPr>
          <w:rFonts w:ascii="Arial" w:hAnsi="Arial" w:cs="Arial"/>
          <w:w w:val="90"/>
          <w:sz w:val="24"/>
          <w:szCs w:val="24"/>
          <w:lang w:val="en-GB"/>
        </w:rPr>
      </w:pPr>
    </w:p>
    <w:p w:rsidR="0024621B" w:rsidRPr="003152D1" w:rsidRDefault="00F17435" w:rsidP="003152D1">
      <w:pPr>
        <w:spacing w:after="0" w:line="240" w:lineRule="auto"/>
        <w:jc w:val="both"/>
        <w:rPr>
          <w:rFonts w:ascii="Arial" w:hAnsi="Arial" w:cs="Arial"/>
          <w:w w:val="90"/>
          <w:sz w:val="24"/>
          <w:szCs w:val="24"/>
          <w:lang w:val="en-GB"/>
        </w:rPr>
      </w:pPr>
      <w:proofErr w:type="gramStart"/>
      <w:r w:rsidRPr="003152D1">
        <w:rPr>
          <w:rFonts w:ascii="Arial" w:hAnsi="Arial" w:cs="Arial"/>
          <w:w w:val="90"/>
          <w:sz w:val="24"/>
          <w:szCs w:val="24"/>
          <w:lang w:val="en-GB"/>
        </w:rPr>
        <w:t xml:space="preserve">7. […] </w:t>
      </w:r>
      <w:r w:rsidRPr="003152D1">
        <w:rPr>
          <w:rFonts w:ascii="Arial" w:hAnsi="Arial" w:cs="Arial"/>
          <w:w w:val="90"/>
          <w:sz w:val="24"/>
          <w:szCs w:val="24"/>
          <w:lang w:val="en-GB"/>
        </w:rPr>
        <w:t>If between an insurance undertaking and a customer there are more than one intermediaries, who cooperate in the promotion of the insurance product, that of the cooperating intermediaries who has a contract with the insurance undertaking shall obtain the insurance undertaking’s approval for the distribution of its products through this collaboration and, as appropriate, for the authorisation referred to in Article 28(5) below, before any insurance contract is entered into.</w:t>
      </w:r>
      <w:proofErr w:type="gramEnd"/>
    </w:p>
    <w:p w:rsidR="00F17435" w:rsidRPr="003152D1" w:rsidRDefault="00F17435" w:rsidP="003152D1">
      <w:pPr>
        <w:spacing w:after="0" w:line="240" w:lineRule="auto"/>
        <w:jc w:val="both"/>
        <w:rPr>
          <w:rFonts w:ascii="Arial" w:hAnsi="Arial" w:cs="Arial"/>
          <w:w w:val="90"/>
          <w:sz w:val="24"/>
          <w:szCs w:val="24"/>
          <w:lang w:val="en-GB"/>
        </w:rPr>
      </w:pPr>
    </w:p>
    <w:p w:rsidR="00F17435" w:rsidRPr="003152D1" w:rsidRDefault="00F17435" w:rsidP="003152D1">
      <w:pPr>
        <w:spacing w:after="0" w:line="240" w:lineRule="auto"/>
        <w:jc w:val="center"/>
        <w:rPr>
          <w:rFonts w:ascii="Arial" w:eastAsia="Times New Roman" w:hAnsi="Arial" w:cs="Arial"/>
          <w:b/>
          <w:iCs/>
          <w:color w:val="000000"/>
          <w:w w:val="90"/>
          <w:sz w:val="24"/>
          <w:szCs w:val="24"/>
          <w:lang w:val="en-GB" w:eastAsia="el-GR"/>
        </w:rPr>
      </w:pPr>
      <w:r w:rsidRPr="003152D1">
        <w:rPr>
          <w:rFonts w:ascii="Arial" w:eastAsia="Times New Roman" w:hAnsi="Arial" w:cs="Arial"/>
          <w:b/>
          <w:iCs/>
          <w:color w:val="000000"/>
          <w:w w:val="90"/>
          <w:sz w:val="24"/>
          <w:szCs w:val="24"/>
          <w:lang w:val="en-GB" w:eastAsia="el-GR"/>
        </w:rPr>
        <w:t>Article 19</w:t>
      </w:r>
    </w:p>
    <w:p w:rsidR="00F17435" w:rsidRPr="003152D1" w:rsidRDefault="00F17435" w:rsidP="003152D1">
      <w:pPr>
        <w:spacing w:after="0" w:line="240" w:lineRule="auto"/>
        <w:jc w:val="center"/>
        <w:rPr>
          <w:rFonts w:ascii="Arial" w:eastAsia="Times New Roman" w:hAnsi="Arial" w:cs="Arial"/>
          <w:b/>
          <w:bCs/>
          <w:color w:val="000000"/>
          <w:w w:val="90"/>
          <w:sz w:val="24"/>
          <w:szCs w:val="24"/>
          <w:lang w:val="en-GB" w:eastAsia="el-GR"/>
        </w:rPr>
      </w:pPr>
      <w:r w:rsidRPr="003152D1">
        <w:rPr>
          <w:rFonts w:ascii="Arial" w:eastAsia="Times New Roman" w:hAnsi="Arial" w:cs="Arial"/>
          <w:b/>
          <w:bCs/>
          <w:color w:val="000000"/>
          <w:w w:val="90"/>
          <w:sz w:val="24"/>
          <w:szCs w:val="24"/>
          <w:lang w:val="en-GB" w:eastAsia="el-GR"/>
        </w:rPr>
        <w:t xml:space="preserve">Special register and </w:t>
      </w:r>
      <w:r w:rsidRPr="003152D1">
        <w:rPr>
          <w:rFonts w:ascii="Arial" w:eastAsia="Times New Roman" w:hAnsi="Arial" w:cs="Arial"/>
          <w:b/>
          <w:color w:val="000000"/>
          <w:w w:val="90"/>
          <w:sz w:val="24"/>
          <w:szCs w:val="24"/>
          <w:lang w:val="en-GB" w:eastAsia="el-GR"/>
        </w:rPr>
        <w:t>single information point</w:t>
      </w:r>
    </w:p>
    <w:p w:rsidR="003152D1" w:rsidRPr="003152D1" w:rsidRDefault="003152D1" w:rsidP="003152D1">
      <w:pPr>
        <w:spacing w:after="0" w:line="240" w:lineRule="auto"/>
        <w:jc w:val="both"/>
        <w:rPr>
          <w:rFonts w:ascii="Arial" w:hAnsi="Arial" w:cs="Arial"/>
          <w:w w:val="90"/>
          <w:sz w:val="24"/>
          <w:szCs w:val="24"/>
          <w:lang w:val="en-GB"/>
        </w:rPr>
      </w:pP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 xml:space="preserve">4. </w:t>
      </w:r>
      <w:r w:rsidRPr="003152D1">
        <w:rPr>
          <w:rFonts w:ascii="Arial" w:hAnsi="Arial" w:cs="Arial"/>
          <w:w w:val="90"/>
          <w:sz w:val="24"/>
          <w:szCs w:val="24"/>
          <w:lang w:val="en-GB"/>
        </w:rPr>
        <w:t>The capacity of insurance agent, insurance coordinator and insurance and reinsurance broker shall be incompatible with that of general manager or manager or representative of a domestic or foreign insurance or reinsurance undertaking. The capacity of employee of an insurance or reinsurance undertaking shall be incompatible with that of insurance agent or i</w:t>
      </w:r>
      <w:r w:rsidRPr="003152D1">
        <w:rPr>
          <w:rFonts w:ascii="Arial" w:hAnsi="Arial" w:cs="Arial"/>
          <w:w w:val="90"/>
          <w:sz w:val="24"/>
          <w:szCs w:val="24"/>
          <w:lang w:val="en-GB"/>
        </w:rPr>
        <w:t>nsurance and reinsurance broker […].</w:t>
      </w:r>
    </w:p>
    <w:p w:rsidR="00F17435" w:rsidRPr="003152D1" w:rsidRDefault="00F17435" w:rsidP="003152D1">
      <w:pPr>
        <w:spacing w:after="0" w:line="240" w:lineRule="auto"/>
        <w:jc w:val="both"/>
        <w:rPr>
          <w:rFonts w:ascii="Arial" w:hAnsi="Arial" w:cs="Arial"/>
          <w:w w:val="90"/>
          <w:sz w:val="24"/>
          <w:szCs w:val="24"/>
          <w:lang w:val="en-GB"/>
        </w:rPr>
      </w:pPr>
    </w:p>
    <w:p w:rsidR="00F17435" w:rsidRPr="003152D1" w:rsidRDefault="00F17435" w:rsidP="003152D1">
      <w:pPr>
        <w:spacing w:after="0" w:line="240" w:lineRule="auto"/>
        <w:jc w:val="center"/>
        <w:rPr>
          <w:rFonts w:ascii="Arial" w:eastAsia="Times New Roman" w:hAnsi="Arial" w:cs="Arial"/>
          <w:b/>
          <w:iCs/>
          <w:color w:val="000000"/>
          <w:w w:val="90"/>
          <w:sz w:val="24"/>
          <w:szCs w:val="24"/>
          <w:lang w:val="en-GB" w:eastAsia="el-GR"/>
        </w:rPr>
      </w:pPr>
      <w:r w:rsidRPr="003152D1">
        <w:rPr>
          <w:rFonts w:ascii="Arial" w:eastAsia="Times New Roman" w:hAnsi="Arial" w:cs="Arial"/>
          <w:b/>
          <w:iCs/>
          <w:color w:val="000000"/>
          <w:w w:val="90"/>
          <w:sz w:val="24"/>
          <w:szCs w:val="24"/>
          <w:lang w:val="en-GB" w:eastAsia="el-GR"/>
        </w:rPr>
        <w:t>Article 28</w:t>
      </w:r>
    </w:p>
    <w:p w:rsidR="00F17435" w:rsidRPr="003152D1" w:rsidRDefault="00F17435" w:rsidP="003152D1">
      <w:pPr>
        <w:spacing w:after="0" w:line="240" w:lineRule="auto"/>
        <w:jc w:val="center"/>
        <w:rPr>
          <w:rFonts w:ascii="Arial" w:eastAsia="Times New Roman" w:hAnsi="Arial" w:cs="Arial"/>
          <w:b/>
          <w:bCs/>
          <w:color w:val="000000"/>
          <w:w w:val="90"/>
          <w:sz w:val="24"/>
          <w:szCs w:val="24"/>
          <w:lang w:val="en-GB" w:eastAsia="el-GR"/>
        </w:rPr>
      </w:pPr>
      <w:r w:rsidRPr="003152D1">
        <w:rPr>
          <w:rFonts w:ascii="Arial" w:eastAsia="Times New Roman" w:hAnsi="Arial" w:cs="Arial"/>
          <w:b/>
          <w:bCs/>
          <w:color w:val="000000"/>
          <w:w w:val="90"/>
          <w:sz w:val="24"/>
          <w:szCs w:val="24"/>
          <w:lang w:val="en-GB" w:eastAsia="el-GR"/>
        </w:rPr>
        <w:t>General information provided by the insurance intermediary or insurance undertaking</w:t>
      </w:r>
    </w:p>
    <w:p w:rsidR="003152D1" w:rsidRPr="003152D1" w:rsidRDefault="003152D1" w:rsidP="003152D1">
      <w:pPr>
        <w:spacing w:after="0" w:line="240" w:lineRule="auto"/>
        <w:jc w:val="both"/>
        <w:rPr>
          <w:rFonts w:ascii="Arial" w:hAnsi="Arial" w:cs="Arial"/>
          <w:w w:val="90"/>
          <w:sz w:val="24"/>
          <w:szCs w:val="24"/>
          <w:lang w:val="en-GB"/>
        </w:rPr>
      </w:pP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3.</w:t>
      </w:r>
      <w:r w:rsidRPr="003152D1">
        <w:rPr>
          <w:rFonts w:ascii="Arial" w:hAnsi="Arial" w:cs="Arial"/>
          <w:w w:val="90"/>
          <w:sz w:val="24"/>
          <w:szCs w:val="24"/>
          <w:lang w:val="en-GB"/>
        </w:rPr>
        <w:tab/>
        <w:t xml:space="preserve">The insurance undertaking shall provide an insurance application form free of charge to the distributors of its products. Prior to the conclusion of the insurance contract, distributors shall complete the application form </w:t>
      </w:r>
      <w:proofErr w:type="gramStart"/>
      <w:r w:rsidRPr="003152D1">
        <w:rPr>
          <w:rFonts w:ascii="Arial" w:hAnsi="Arial" w:cs="Arial"/>
          <w:w w:val="90"/>
          <w:sz w:val="24"/>
          <w:szCs w:val="24"/>
          <w:lang w:val="en-GB"/>
        </w:rPr>
        <w:t>on the basis of</w:t>
      </w:r>
      <w:proofErr w:type="gramEnd"/>
      <w:r w:rsidRPr="003152D1">
        <w:rPr>
          <w:rFonts w:ascii="Arial" w:hAnsi="Arial" w:cs="Arial"/>
          <w:w w:val="90"/>
          <w:sz w:val="24"/>
          <w:szCs w:val="24"/>
          <w:lang w:val="en-GB"/>
        </w:rPr>
        <w:t xml:space="preserve"> the data provided by the customer, have the customer sign it, and deliver the original to the insurance undertaking that assumes the risk and the copy to the customer. The application form, as well as the insurance contract issued subsequently, </w:t>
      </w:r>
      <w:proofErr w:type="gramStart"/>
      <w:r w:rsidRPr="003152D1">
        <w:rPr>
          <w:rFonts w:ascii="Arial" w:hAnsi="Arial" w:cs="Arial"/>
          <w:w w:val="90"/>
          <w:sz w:val="24"/>
          <w:szCs w:val="24"/>
          <w:lang w:val="en-GB"/>
        </w:rPr>
        <w:t>shall, in addition to the data required under Article 1(2) of Law 2496/1997 (Government Gazette A87), also contain</w:t>
      </w:r>
      <w:proofErr w:type="gramEnd"/>
      <w:r w:rsidRPr="003152D1">
        <w:rPr>
          <w:rFonts w:ascii="Arial" w:hAnsi="Arial" w:cs="Arial"/>
          <w:w w:val="90"/>
          <w:sz w:val="24"/>
          <w:szCs w:val="24"/>
          <w:lang w:val="en-GB"/>
        </w:rPr>
        <w:t xml:space="preserve"> the following information, as appropriate:</w:t>
      </w: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(a)</w:t>
      </w:r>
      <w:r w:rsidRPr="003152D1">
        <w:rPr>
          <w:rFonts w:ascii="Arial" w:hAnsi="Arial" w:cs="Arial"/>
          <w:w w:val="90"/>
          <w:sz w:val="24"/>
          <w:szCs w:val="24"/>
          <w:lang w:val="en-GB"/>
        </w:rPr>
        <w:tab/>
        <w:t>the name, tax registration number and special registration number of the insurance agent, insurance broker or ancillary insurance intermediary that contacted directly the customer for the distribution of the insurance contract;</w:t>
      </w: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(b)</w:t>
      </w:r>
      <w:r w:rsidRPr="003152D1">
        <w:rPr>
          <w:rFonts w:ascii="Arial" w:hAnsi="Arial" w:cs="Arial"/>
          <w:w w:val="90"/>
          <w:sz w:val="24"/>
          <w:szCs w:val="24"/>
          <w:lang w:val="en-GB"/>
        </w:rPr>
        <w:tab/>
      </w:r>
      <w:proofErr w:type="gramStart"/>
      <w:r w:rsidRPr="003152D1">
        <w:rPr>
          <w:rFonts w:ascii="Arial" w:hAnsi="Arial" w:cs="Arial"/>
          <w:w w:val="90"/>
          <w:sz w:val="24"/>
          <w:szCs w:val="24"/>
          <w:lang w:val="en-GB"/>
        </w:rPr>
        <w:t>the</w:t>
      </w:r>
      <w:proofErr w:type="gramEnd"/>
      <w:r w:rsidRPr="003152D1">
        <w:rPr>
          <w:rFonts w:ascii="Arial" w:hAnsi="Arial" w:cs="Arial"/>
          <w:w w:val="90"/>
          <w:sz w:val="24"/>
          <w:szCs w:val="24"/>
          <w:lang w:val="en-GB"/>
        </w:rPr>
        <w:t xml:space="preserve"> information referred to in </w:t>
      </w:r>
      <w:proofErr w:type="spellStart"/>
      <w:r w:rsidRPr="003152D1">
        <w:rPr>
          <w:rFonts w:ascii="Arial" w:hAnsi="Arial" w:cs="Arial"/>
          <w:w w:val="90"/>
          <w:sz w:val="24"/>
          <w:szCs w:val="24"/>
          <w:lang w:val="en-GB"/>
        </w:rPr>
        <w:t>subpara</w:t>
      </w:r>
      <w:proofErr w:type="spellEnd"/>
      <w:r w:rsidRPr="003152D1">
        <w:rPr>
          <w:rFonts w:ascii="Arial" w:hAnsi="Arial" w:cs="Arial"/>
          <w:w w:val="90"/>
          <w:sz w:val="24"/>
          <w:szCs w:val="24"/>
          <w:lang w:val="en-GB"/>
        </w:rPr>
        <w:t xml:space="preserve">. (a) </w:t>
      </w:r>
      <w:proofErr w:type="gramStart"/>
      <w:r w:rsidRPr="003152D1">
        <w:rPr>
          <w:rFonts w:ascii="Arial" w:hAnsi="Arial" w:cs="Arial"/>
          <w:w w:val="90"/>
          <w:sz w:val="24"/>
          <w:szCs w:val="24"/>
          <w:lang w:val="en-GB"/>
        </w:rPr>
        <w:t>above</w:t>
      </w:r>
      <w:proofErr w:type="gramEnd"/>
      <w:r w:rsidRPr="003152D1">
        <w:rPr>
          <w:rFonts w:ascii="Arial" w:hAnsi="Arial" w:cs="Arial"/>
          <w:w w:val="90"/>
          <w:sz w:val="24"/>
          <w:szCs w:val="24"/>
          <w:lang w:val="en-GB"/>
        </w:rPr>
        <w:t xml:space="preserve"> concerning the insurance agent, insurance broker or ancillary insurance intermediary that has a contract with the insurance undertaking, if different from the one referred to in </w:t>
      </w:r>
      <w:proofErr w:type="spellStart"/>
      <w:r w:rsidRPr="003152D1">
        <w:rPr>
          <w:rFonts w:ascii="Arial" w:hAnsi="Arial" w:cs="Arial"/>
          <w:w w:val="90"/>
          <w:sz w:val="24"/>
          <w:szCs w:val="24"/>
          <w:lang w:val="en-GB"/>
        </w:rPr>
        <w:t>subpara</w:t>
      </w:r>
      <w:proofErr w:type="spellEnd"/>
      <w:r w:rsidRPr="003152D1">
        <w:rPr>
          <w:rFonts w:ascii="Arial" w:hAnsi="Arial" w:cs="Arial"/>
          <w:w w:val="90"/>
          <w:sz w:val="24"/>
          <w:szCs w:val="24"/>
          <w:lang w:val="en-GB"/>
        </w:rPr>
        <w:t xml:space="preserve">. (a) </w:t>
      </w:r>
      <w:proofErr w:type="gramStart"/>
      <w:r w:rsidRPr="003152D1">
        <w:rPr>
          <w:rFonts w:ascii="Arial" w:hAnsi="Arial" w:cs="Arial"/>
          <w:w w:val="90"/>
          <w:sz w:val="24"/>
          <w:szCs w:val="24"/>
          <w:lang w:val="en-GB"/>
        </w:rPr>
        <w:t>above</w:t>
      </w:r>
      <w:proofErr w:type="gramEnd"/>
      <w:r w:rsidRPr="003152D1">
        <w:rPr>
          <w:rFonts w:ascii="Arial" w:hAnsi="Arial" w:cs="Arial"/>
          <w:w w:val="90"/>
          <w:sz w:val="24"/>
          <w:szCs w:val="24"/>
          <w:lang w:val="en-GB"/>
        </w:rPr>
        <w:t>; and</w:t>
      </w: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(c)</w:t>
      </w:r>
      <w:r w:rsidRPr="003152D1">
        <w:rPr>
          <w:rFonts w:ascii="Arial" w:hAnsi="Arial" w:cs="Arial"/>
          <w:w w:val="90"/>
          <w:sz w:val="24"/>
          <w:szCs w:val="24"/>
          <w:lang w:val="en-GB"/>
        </w:rPr>
        <w:tab/>
      </w:r>
      <w:proofErr w:type="gramStart"/>
      <w:r w:rsidRPr="003152D1">
        <w:rPr>
          <w:rFonts w:ascii="Arial" w:hAnsi="Arial" w:cs="Arial"/>
          <w:w w:val="90"/>
          <w:sz w:val="24"/>
          <w:szCs w:val="24"/>
          <w:lang w:val="en-GB"/>
        </w:rPr>
        <w:t>the</w:t>
      </w:r>
      <w:proofErr w:type="gramEnd"/>
      <w:r w:rsidRPr="003152D1">
        <w:rPr>
          <w:rFonts w:ascii="Arial" w:hAnsi="Arial" w:cs="Arial"/>
          <w:w w:val="90"/>
          <w:sz w:val="24"/>
          <w:szCs w:val="24"/>
          <w:lang w:val="en-GB"/>
        </w:rPr>
        <w:t xml:space="preserve"> information referred to in </w:t>
      </w:r>
      <w:proofErr w:type="spellStart"/>
      <w:r w:rsidRPr="003152D1">
        <w:rPr>
          <w:rFonts w:ascii="Arial" w:hAnsi="Arial" w:cs="Arial"/>
          <w:w w:val="90"/>
          <w:sz w:val="24"/>
          <w:szCs w:val="24"/>
          <w:lang w:val="en-GB"/>
        </w:rPr>
        <w:t>subpara</w:t>
      </w:r>
      <w:proofErr w:type="spellEnd"/>
      <w:r w:rsidRPr="003152D1">
        <w:rPr>
          <w:rFonts w:ascii="Arial" w:hAnsi="Arial" w:cs="Arial"/>
          <w:w w:val="90"/>
          <w:sz w:val="24"/>
          <w:szCs w:val="24"/>
          <w:lang w:val="en-GB"/>
        </w:rPr>
        <w:t xml:space="preserve">. (a) </w:t>
      </w:r>
      <w:proofErr w:type="gramStart"/>
      <w:r w:rsidRPr="003152D1">
        <w:rPr>
          <w:rFonts w:ascii="Arial" w:hAnsi="Arial" w:cs="Arial"/>
          <w:w w:val="90"/>
          <w:sz w:val="24"/>
          <w:szCs w:val="24"/>
          <w:lang w:val="en-GB"/>
        </w:rPr>
        <w:t>above</w:t>
      </w:r>
      <w:proofErr w:type="gramEnd"/>
      <w:r w:rsidRPr="003152D1">
        <w:rPr>
          <w:rFonts w:ascii="Arial" w:hAnsi="Arial" w:cs="Arial"/>
          <w:w w:val="90"/>
          <w:sz w:val="24"/>
          <w:szCs w:val="24"/>
          <w:lang w:val="en-GB"/>
        </w:rPr>
        <w:t xml:space="preserve"> concerning the insurance coordinator. </w:t>
      </w:r>
    </w:p>
    <w:p w:rsidR="00F17435" w:rsidRPr="003152D1" w:rsidRDefault="00F17435" w:rsidP="003152D1">
      <w:pPr>
        <w:spacing w:after="0" w:line="240" w:lineRule="auto"/>
        <w:jc w:val="both"/>
        <w:rPr>
          <w:rFonts w:ascii="Arial" w:hAnsi="Arial" w:cs="Arial"/>
          <w:w w:val="90"/>
          <w:sz w:val="24"/>
          <w:szCs w:val="24"/>
          <w:lang w:val="en-GB"/>
        </w:rPr>
      </w:pPr>
    </w:p>
    <w:p w:rsidR="00F17435" w:rsidRPr="003152D1" w:rsidRDefault="00F17435" w:rsidP="00F17435">
      <w:pPr>
        <w:spacing w:after="0"/>
        <w:jc w:val="both"/>
        <w:rPr>
          <w:w w:val="90"/>
          <w:lang w:val="en-GB"/>
        </w:rPr>
      </w:pPr>
      <w:bookmarkStart w:id="0" w:name="_GoBack"/>
      <w:bookmarkEnd w:id="0"/>
    </w:p>
    <w:sectPr w:rsidR="00F17435" w:rsidRPr="003152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35"/>
    <w:rsid w:val="0024621B"/>
    <w:rsid w:val="003152D1"/>
    <w:rsid w:val="00F174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26F6"/>
  <w15:chartTrackingRefBased/>
  <w15:docId w15:val="{AA802724-698A-4424-8F6B-F00B2B0F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4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2019-01-21T22:00:00+00:00</ContentDate>
    <OrganizationalUnit xmlns="8e878111-5d44-4ac0-8d7d-001e9b3d0fd0">40</OrganizationalUnit>
    <CEID xmlns="a029a951-197a-4454-90a0-4e8ba8bb2239" xsi:nil="true"/>
    <LanguageRef xmlns="a029a951-197a-4454-90a0-4e8ba8bb2239">
      <Value>2</Value>
    </LanguageRef>
    <TitleBackup xmlns="8e878111-5d44-4ac0-8d7d-001e9b3d0fd0">site_ΔιατάξειςΔημοσίουΣυμφέροντος_EN_επιχειρήσεις</TitleBackup>
    <Topic xmlns="8e878111-5d44-4ac0-8d7d-001e9b3d0fd0">93</Topic>
    <ShowInContentGroups xmlns="a029a951-197a-4454-90a0-4e8ba8bb2239"/>
    <ItemOrder xmlns="a029a951-197a-4454-90a0-4e8ba8bb2239" xsi:nil="true"/>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site_ΔιατάξειςΔημοσίουΣυμφέροντος_EN_επιχειρήσεις</DisplayTitle>
    <AModifiedBy xmlns="a029a951-197a-4454-90a0-4e8ba8bb2239">Anastasopoulou Eleftheria</AModifiedBy>
    <AModified xmlns="a029a951-197a-4454-90a0-4e8ba8bb2239">2019-07-27T02:10:35+00:00</AModified>
    <AID xmlns="a029a951-197a-4454-90a0-4e8ba8bb2239">12527</AID>
    <ACreated xmlns="a029a951-197a-4454-90a0-4e8ba8bb2239">2019-07-06T20:05:29+00:00</ACreated>
    <ACreatedBy xmlns="a029a951-197a-4454-90a0-4e8ba8bb2239">sp_AuthSetup</ACreatedBy>
    <AVersion xmlns="a029a951-197a-4454-90a0-4e8ba8bb2239">10.0</AVersion>
  </documentManagement>
</p:properties>
</file>

<file path=customXml/itemProps1.xml><?xml version="1.0" encoding="utf-8"?>
<ds:datastoreItem xmlns:ds="http://schemas.openxmlformats.org/officeDocument/2006/customXml" ds:itemID="{94E2FFB0-B45A-44B6-9964-8CA51C84914A}"/>
</file>

<file path=customXml/itemProps2.xml><?xml version="1.0" encoding="utf-8"?>
<ds:datastoreItem xmlns:ds="http://schemas.openxmlformats.org/officeDocument/2006/customXml" ds:itemID="{1C5C29F7-195E-4FE8-A6E8-E6F7A46F2E7F}"/>
</file>

<file path=customXml/itemProps3.xml><?xml version="1.0" encoding="utf-8"?>
<ds:datastoreItem xmlns:ds="http://schemas.openxmlformats.org/officeDocument/2006/customXml" ds:itemID="{5F5C5228-4E83-4372-AB0E-380F09C3CD4D}"/>
</file>

<file path=docProps/app.xml><?xml version="1.0" encoding="utf-8"?>
<Properties xmlns="http://schemas.openxmlformats.org/officeDocument/2006/extended-properties" xmlns:vt="http://schemas.openxmlformats.org/officeDocument/2006/docPropsVTypes">
  <Template>Normal.dotm</Template>
  <TotalTime>7</TotalTime>
  <Pages>1</Pages>
  <Words>370</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site_ΔιατάξειςΔημοσίουΣυμφέροντος_EN_επιχειρήσεις</dc:title>
  <dc:subject/>
  <dc:creator>Kritikou Maria</dc:creator>
  <cp:keywords/>
  <dc:description/>
  <cp:lastModifiedBy>Kritikou Maria</cp:lastModifiedBy>
  <cp:revision>2</cp:revision>
  <dcterms:created xsi:type="dcterms:W3CDTF">2019-01-21T12:16:00Z</dcterms:created>
  <dcterms:modified xsi:type="dcterms:W3CDTF">2019-01-21T12:28:00Z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315300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