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AA0B" w14:textId="77777777" w:rsidR="00742EF2" w:rsidRPr="004B44C6" w:rsidRDefault="00742EF2" w:rsidP="0090065D">
      <w:pPr>
        <w:spacing w:before="240" w:after="240"/>
        <w:jc w:val="center"/>
        <w:rPr>
          <w:rFonts w:ascii="Calibri" w:eastAsia="Arial Unicode MS" w:hAnsi="Calibri" w:cs="Calibri"/>
          <w:b/>
          <w:lang w:val="en-US"/>
        </w:rPr>
      </w:pPr>
    </w:p>
    <w:p w14:paraId="2AE772D8" w14:textId="77777777" w:rsidR="00BD7AD4" w:rsidRPr="004B44C6" w:rsidRDefault="00306A8D" w:rsidP="004B44C6">
      <w:pPr>
        <w:pStyle w:val="Heading1"/>
        <w:numPr>
          <w:ilvl w:val="0"/>
          <w:numId w:val="30"/>
        </w:numPr>
        <w:ind w:left="0" w:firstLine="0"/>
        <w:rPr>
          <w:rFonts w:ascii="Calibri" w:eastAsia="Times New Roman" w:hAnsi="Calibri" w:cs="Calibri"/>
          <w:sz w:val="24"/>
          <w:szCs w:val="24"/>
        </w:rPr>
      </w:pPr>
      <w:r w:rsidRPr="004B44C6">
        <w:rPr>
          <w:rFonts w:ascii="Calibri" w:eastAsia="Times New Roman" w:hAnsi="Calibri" w:cs="Calibri"/>
          <w:sz w:val="24"/>
          <w:szCs w:val="24"/>
        </w:rPr>
        <w:t>Δ</w:t>
      </w:r>
      <w:r w:rsidR="00BD7AD4" w:rsidRPr="004B44C6">
        <w:rPr>
          <w:rFonts w:ascii="Calibri" w:eastAsia="Times New Roman" w:hAnsi="Calibri" w:cs="Calibri"/>
          <w:sz w:val="24"/>
          <w:szCs w:val="24"/>
        </w:rPr>
        <w:t>ιαδικασία Εποπτικής Αξιολόγησης</w:t>
      </w:r>
    </w:p>
    <w:p w14:paraId="4D230918" w14:textId="22D47A93" w:rsidR="00BD7AD4" w:rsidRPr="004B44C6" w:rsidRDefault="00DD1133" w:rsidP="27B2B920">
      <w:pPr>
        <w:autoSpaceDE w:val="0"/>
        <w:autoSpaceDN w:val="0"/>
        <w:adjustRightInd w:val="0"/>
        <w:spacing w:before="240" w:after="240"/>
        <w:jc w:val="both"/>
        <w:rPr>
          <w:rFonts w:ascii="Calibri" w:eastAsia="Arial Unicode MS" w:hAnsi="Calibri" w:cs="Calibri"/>
          <w:strike/>
          <w:color w:val="FF0000"/>
        </w:rPr>
      </w:pPr>
      <w:r>
        <w:rPr>
          <w:rFonts w:ascii="Calibri" w:eastAsia="Arial Unicode MS" w:hAnsi="Calibri" w:cs="Calibri"/>
        </w:rPr>
        <w:t>Παρατίθεται</w:t>
      </w:r>
      <w:r w:rsidR="00BD7AD4" w:rsidRPr="004B44C6">
        <w:rPr>
          <w:rFonts w:ascii="Calibri" w:eastAsia="Arial Unicode MS" w:hAnsi="Calibri" w:cs="Calibri"/>
        </w:rPr>
        <w:t xml:space="preserve"> κατωτέρω η μεθοδολογία, τα κριτήρια και οι αρχές </w:t>
      </w:r>
      <w:r w:rsidR="0018781F" w:rsidRPr="004B44C6">
        <w:rPr>
          <w:rFonts w:ascii="Calibri" w:eastAsia="Arial Unicode MS" w:hAnsi="Calibri" w:cs="Calibri"/>
        </w:rPr>
        <w:t>τις οποίες ακολουθεί</w:t>
      </w:r>
      <w:r w:rsidR="00BD7AD4" w:rsidRPr="004B44C6">
        <w:rPr>
          <w:rFonts w:ascii="Calibri" w:eastAsia="Arial Unicode MS" w:hAnsi="Calibri" w:cs="Calibri"/>
        </w:rPr>
        <w:t xml:space="preserve"> η Τράπεζα της Ελλάδος κατά τη </w:t>
      </w:r>
      <w:r w:rsidR="00F470AD" w:rsidRPr="004B44C6">
        <w:rPr>
          <w:rFonts w:ascii="Calibri" w:eastAsia="Arial Unicode MS" w:hAnsi="Calibri" w:cs="Calibri"/>
          <w:b/>
          <w:bCs/>
        </w:rPr>
        <w:t>Δ</w:t>
      </w:r>
      <w:r w:rsidR="00BD7AD4" w:rsidRPr="004B44C6">
        <w:rPr>
          <w:rFonts w:ascii="Calibri" w:eastAsia="Arial Unicode MS" w:hAnsi="Calibri" w:cs="Calibri"/>
          <w:b/>
          <w:bCs/>
        </w:rPr>
        <w:t xml:space="preserve">ιαδικασία </w:t>
      </w:r>
      <w:r w:rsidR="00F470AD" w:rsidRPr="004B44C6">
        <w:rPr>
          <w:rFonts w:ascii="Calibri" w:eastAsia="Arial Unicode MS" w:hAnsi="Calibri" w:cs="Calibri"/>
          <w:b/>
          <w:bCs/>
        </w:rPr>
        <w:t>Ε</w:t>
      </w:r>
      <w:r w:rsidR="00BD7AD4" w:rsidRPr="004B44C6">
        <w:rPr>
          <w:rFonts w:ascii="Calibri" w:eastAsia="Arial Unicode MS" w:hAnsi="Calibri" w:cs="Calibri"/>
          <w:b/>
          <w:bCs/>
        </w:rPr>
        <w:t xml:space="preserve">ποπτικής </w:t>
      </w:r>
      <w:r w:rsidR="00F470AD" w:rsidRPr="004B44C6">
        <w:rPr>
          <w:rFonts w:ascii="Calibri" w:eastAsia="Arial Unicode MS" w:hAnsi="Calibri" w:cs="Calibri"/>
          <w:b/>
          <w:bCs/>
        </w:rPr>
        <w:t>Α</w:t>
      </w:r>
      <w:r w:rsidR="00BD7AD4" w:rsidRPr="004B44C6">
        <w:rPr>
          <w:rFonts w:ascii="Calibri" w:eastAsia="Arial Unicode MS" w:hAnsi="Calibri" w:cs="Calibri"/>
          <w:b/>
          <w:bCs/>
        </w:rPr>
        <w:t>ξιολόγησης</w:t>
      </w:r>
      <w:r w:rsidR="00BD7AD4" w:rsidRPr="004B44C6">
        <w:rPr>
          <w:rFonts w:ascii="Calibri" w:eastAsia="Arial Unicode MS" w:hAnsi="Calibri" w:cs="Calibri"/>
        </w:rPr>
        <w:t xml:space="preserve"> </w:t>
      </w:r>
      <w:r w:rsidR="00F470AD" w:rsidRPr="004B44C6">
        <w:rPr>
          <w:rFonts w:ascii="Calibri" w:eastAsia="Arial Unicode MS" w:hAnsi="Calibri" w:cs="Calibri"/>
        </w:rPr>
        <w:t>(</w:t>
      </w:r>
      <w:r w:rsidR="00357441" w:rsidRPr="004B44C6">
        <w:rPr>
          <w:rFonts w:ascii="Calibri" w:eastAsia="Arial Unicode MS" w:hAnsi="Calibri" w:cs="Calibri"/>
        </w:rPr>
        <w:t>στο εξής «</w:t>
      </w:r>
      <w:r w:rsidR="00F470AD" w:rsidRPr="004B44C6">
        <w:rPr>
          <w:rFonts w:ascii="Calibri" w:eastAsia="Arial Unicode MS" w:hAnsi="Calibri" w:cs="Calibri"/>
        </w:rPr>
        <w:t>ΔΕΑ</w:t>
      </w:r>
      <w:r w:rsidR="00357441" w:rsidRPr="004B44C6">
        <w:rPr>
          <w:rFonts w:ascii="Calibri" w:eastAsia="Arial Unicode MS" w:hAnsi="Calibri" w:cs="Calibri"/>
        </w:rPr>
        <w:t>»</w:t>
      </w:r>
      <w:r w:rsidR="00F470AD" w:rsidRPr="004B44C6">
        <w:rPr>
          <w:rFonts w:ascii="Calibri" w:eastAsia="Arial Unicode MS" w:hAnsi="Calibri" w:cs="Calibri"/>
        </w:rPr>
        <w:t xml:space="preserve">) </w:t>
      </w:r>
      <w:r w:rsidR="00BD7AD4" w:rsidRPr="004B44C6">
        <w:rPr>
          <w:rFonts w:ascii="Calibri" w:eastAsia="Arial Unicode MS" w:hAnsi="Calibri" w:cs="Calibri"/>
        </w:rPr>
        <w:t xml:space="preserve">των εποπτευομένων </w:t>
      </w:r>
      <w:r w:rsidR="00766ECB" w:rsidRPr="004B44C6">
        <w:rPr>
          <w:rFonts w:ascii="Calibri" w:eastAsia="Arial Unicode MS" w:hAnsi="Calibri" w:cs="Calibri"/>
        </w:rPr>
        <w:t xml:space="preserve">Ταμείων Επαγγελματικής Ασφάλισης (εφεξής </w:t>
      </w:r>
      <w:r w:rsidR="00595C72" w:rsidRPr="004B44C6">
        <w:rPr>
          <w:rFonts w:ascii="Calibri" w:eastAsia="Arial Unicode MS" w:hAnsi="Calibri" w:cs="Calibri"/>
        </w:rPr>
        <w:t>Τ</w:t>
      </w:r>
      <w:r w:rsidR="00167F98" w:rsidRPr="004B44C6">
        <w:rPr>
          <w:rFonts w:ascii="Calibri" w:eastAsia="Arial Unicode MS" w:hAnsi="Calibri" w:cs="Calibri"/>
        </w:rPr>
        <w:t>.</w:t>
      </w:r>
      <w:r w:rsidR="00595C72" w:rsidRPr="004B44C6">
        <w:rPr>
          <w:rFonts w:ascii="Calibri" w:eastAsia="Arial Unicode MS" w:hAnsi="Calibri" w:cs="Calibri"/>
        </w:rPr>
        <w:t>Ε</w:t>
      </w:r>
      <w:r w:rsidR="00167F98" w:rsidRPr="004B44C6">
        <w:rPr>
          <w:rFonts w:ascii="Calibri" w:eastAsia="Arial Unicode MS" w:hAnsi="Calibri" w:cs="Calibri"/>
        </w:rPr>
        <w:t>.</w:t>
      </w:r>
      <w:r w:rsidR="00595C72" w:rsidRPr="004B44C6">
        <w:rPr>
          <w:rFonts w:ascii="Calibri" w:eastAsia="Arial Unicode MS" w:hAnsi="Calibri" w:cs="Calibri"/>
        </w:rPr>
        <w:t>Α</w:t>
      </w:r>
      <w:r w:rsidR="00167F98" w:rsidRPr="004B44C6">
        <w:rPr>
          <w:rFonts w:ascii="Calibri" w:eastAsia="Arial Unicode MS" w:hAnsi="Calibri" w:cs="Calibri"/>
        </w:rPr>
        <w:t>.</w:t>
      </w:r>
      <w:r w:rsidR="00766ECB" w:rsidRPr="004B44C6">
        <w:rPr>
          <w:rFonts w:ascii="Calibri" w:eastAsia="Arial Unicode MS" w:hAnsi="Calibri" w:cs="Calibri"/>
        </w:rPr>
        <w:t>)</w:t>
      </w:r>
      <w:r w:rsidR="00BD7AD4" w:rsidRPr="004B44C6">
        <w:rPr>
          <w:rFonts w:ascii="Calibri" w:eastAsia="Arial Unicode MS" w:hAnsi="Calibri" w:cs="Calibri"/>
        </w:rPr>
        <w:t xml:space="preserve">, ως αυτή η αξιολόγηση ορίζεται στο άρθρο </w:t>
      </w:r>
      <w:r w:rsidR="00595C72" w:rsidRPr="004B44C6">
        <w:rPr>
          <w:rFonts w:ascii="Calibri" w:eastAsia="Arial Unicode MS" w:hAnsi="Calibri" w:cs="Calibri"/>
        </w:rPr>
        <w:t>58</w:t>
      </w:r>
      <w:r w:rsidR="00BD7AD4" w:rsidRPr="004B44C6">
        <w:rPr>
          <w:rFonts w:ascii="Calibri" w:eastAsia="Arial Unicode MS" w:hAnsi="Calibri" w:cs="Calibri"/>
        </w:rPr>
        <w:t xml:space="preserve"> του </w:t>
      </w:r>
      <w:r w:rsidR="002B29B4" w:rsidRPr="004B44C6">
        <w:rPr>
          <w:rFonts w:ascii="Calibri" w:hAnsi="Calibri" w:cs="Calibri"/>
        </w:rPr>
        <w:t xml:space="preserve">ν. </w:t>
      </w:r>
      <w:r w:rsidR="00595C72" w:rsidRPr="004B44C6">
        <w:rPr>
          <w:rFonts w:ascii="Calibri" w:hAnsi="Calibri" w:cs="Calibri"/>
        </w:rPr>
        <w:t>5078</w:t>
      </w:r>
      <w:r w:rsidR="002B29B4" w:rsidRPr="004B44C6">
        <w:rPr>
          <w:rFonts w:ascii="Calibri" w:hAnsi="Calibri" w:cs="Calibri"/>
        </w:rPr>
        <w:t>/20</w:t>
      </w:r>
      <w:r w:rsidR="00595C72" w:rsidRPr="004B44C6">
        <w:rPr>
          <w:rFonts w:ascii="Calibri" w:hAnsi="Calibri" w:cs="Calibri"/>
        </w:rPr>
        <w:t>23</w:t>
      </w:r>
      <w:r w:rsidR="002B29B4" w:rsidRPr="004B44C6">
        <w:rPr>
          <w:rFonts w:ascii="Calibri" w:hAnsi="Calibri" w:cs="Calibri"/>
        </w:rPr>
        <w:t xml:space="preserve"> </w:t>
      </w:r>
      <w:r w:rsidR="002B29B4" w:rsidRPr="004B44C6">
        <w:rPr>
          <w:rFonts w:ascii="Calibri" w:eastAsia="Arial Unicode MS" w:hAnsi="Calibri" w:cs="Calibri"/>
        </w:rPr>
        <w:t xml:space="preserve">(ΦΕΚ </w:t>
      </w:r>
      <w:r w:rsidR="00167F98" w:rsidRPr="004B44C6">
        <w:rPr>
          <w:rFonts w:ascii="Calibri" w:eastAsia="Arial Unicode MS" w:hAnsi="Calibri" w:cs="Calibri"/>
          <w:lang w:val="en-US"/>
        </w:rPr>
        <w:t>A</w:t>
      </w:r>
      <w:r w:rsidR="00167F98" w:rsidRPr="004B44C6">
        <w:rPr>
          <w:rFonts w:ascii="Calibri" w:eastAsia="Arial Unicode MS" w:hAnsi="Calibri" w:cs="Calibri"/>
        </w:rPr>
        <w:t xml:space="preserve"> </w:t>
      </w:r>
      <w:r w:rsidR="008D248E" w:rsidRPr="004B44C6">
        <w:rPr>
          <w:rFonts w:ascii="Calibri" w:eastAsia="Arial Unicode MS" w:hAnsi="Calibri" w:cs="Calibri"/>
        </w:rPr>
        <w:t>211</w:t>
      </w:r>
      <w:r w:rsidR="002B29B4" w:rsidRPr="004B44C6">
        <w:rPr>
          <w:rFonts w:ascii="Calibri" w:eastAsia="Arial Unicode MS" w:hAnsi="Calibri" w:cs="Calibri"/>
        </w:rPr>
        <w:t xml:space="preserve">), </w:t>
      </w:r>
      <w:r w:rsidR="00BD7AD4" w:rsidRPr="004B44C6">
        <w:rPr>
          <w:rFonts w:ascii="Calibri" w:eastAsia="Arial Unicode MS" w:hAnsi="Calibri" w:cs="Calibri"/>
        </w:rPr>
        <w:t xml:space="preserve">ο οποίος ενσωματώνει την Οδηγία </w:t>
      </w:r>
      <w:r w:rsidR="00595C72" w:rsidRPr="004B44C6">
        <w:rPr>
          <w:rFonts w:ascii="Calibri" w:eastAsia="Arial Unicode MS" w:hAnsi="Calibri" w:cs="Calibri"/>
        </w:rPr>
        <w:t xml:space="preserve">(ΕΕ) 2016/2341 </w:t>
      </w:r>
      <w:r w:rsidR="00BD7AD4" w:rsidRPr="004B44C6">
        <w:rPr>
          <w:rFonts w:ascii="Calibri" w:eastAsia="Arial Unicode MS" w:hAnsi="Calibri" w:cs="Calibri"/>
        </w:rPr>
        <w:t>του Ευρωπαϊκού Κοινοβουλίου και του Συμβουλίου</w:t>
      </w:r>
      <w:r w:rsidR="00167F98" w:rsidRPr="004B44C6">
        <w:rPr>
          <w:rFonts w:ascii="Calibri" w:eastAsia="Arial Unicode MS" w:hAnsi="Calibri" w:cs="Calibri"/>
        </w:rPr>
        <w:t xml:space="preserve"> για τις δραστηριότητες και την εποπτεία των ιδρυμάτων επαγγελματικών συνταξιοδοτικών παροχών (ΙΕΣΠ)</w:t>
      </w:r>
      <w:r w:rsidR="00BD7AD4" w:rsidRPr="004B44C6">
        <w:rPr>
          <w:rFonts w:ascii="Calibri" w:eastAsia="Arial Unicode MS" w:hAnsi="Calibri" w:cs="Calibri"/>
        </w:rPr>
        <w:t xml:space="preserve"> (στο εξής </w:t>
      </w:r>
      <w:r w:rsidR="00357441" w:rsidRPr="004B44C6">
        <w:rPr>
          <w:rFonts w:ascii="Calibri" w:eastAsia="Arial Unicode MS" w:hAnsi="Calibri" w:cs="Calibri"/>
        </w:rPr>
        <w:t>«</w:t>
      </w:r>
      <w:r w:rsidR="00BD7AD4" w:rsidRPr="004B44C6">
        <w:rPr>
          <w:rFonts w:ascii="Calibri" w:eastAsia="Arial Unicode MS" w:hAnsi="Calibri" w:cs="Calibri"/>
        </w:rPr>
        <w:t>Οδηγία</w:t>
      </w:r>
      <w:r w:rsidR="008D248E" w:rsidRPr="004B44C6">
        <w:rPr>
          <w:rFonts w:ascii="Calibri" w:eastAsia="Arial Unicode MS" w:hAnsi="Calibri" w:cs="Calibri"/>
        </w:rPr>
        <w:t xml:space="preserve"> </w:t>
      </w:r>
      <w:r w:rsidR="008D248E" w:rsidRPr="004B44C6">
        <w:rPr>
          <w:rFonts w:ascii="Calibri" w:eastAsia="Arial Unicode MS" w:hAnsi="Calibri" w:cs="Calibri"/>
          <w:lang w:val="en-US"/>
        </w:rPr>
        <w:t>IORP</w:t>
      </w:r>
      <w:r w:rsidR="008D248E" w:rsidRPr="004B44C6">
        <w:rPr>
          <w:rFonts w:ascii="Calibri" w:eastAsia="Arial Unicode MS" w:hAnsi="Calibri" w:cs="Calibri"/>
        </w:rPr>
        <w:t xml:space="preserve"> </w:t>
      </w:r>
      <w:r w:rsidR="008D248E" w:rsidRPr="004B44C6">
        <w:rPr>
          <w:rFonts w:ascii="Calibri" w:eastAsia="Arial Unicode MS" w:hAnsi="Calibri" w:cs="Calibri"/>
          <w:lang w:val="en-US"/>
        </w:rPr>
        <w:t>II</w:t>
      </w:r>
      <w:r w:rsidR="00357441" w:rsidRPr="004B44C6">
        <w:rPr>
          <w:rFonts w:ascii="Calibri" w:eastAsia="Arial Unicode MS" w:hAnsi="Calibri" w:cs="Calibri"/>
        </w:rPr>
        <w:t>»</w:t>
      </w:r>
      <w:r w:rsidR="00BD7AD4" w:rsidRPr="004B44C6">
        <w:rPr>
          <w:rFonts w:ascii="Calibri" w:eastAsia="Arial Unicode MS" w:hAnsi="Calibri" w:cs="Calibri"/>
        </w:rPr>
        <w:t>).</w:t>
      </w:r>
    </w:p>
    <w:p w14:paraId="5420CD96" w14:textId="24536EBF" w:rsidR="00BD7AD4" w:rsidRPr="004B44C6" w:rsidRDefault="00D22B74" w:rsidP="00CA7583">
      <w:pPr>
        <w:pStyle w:val="ListParagraph"/>
        <w:autoSpaceDE w:val="0"/>
        <w:autoSpaceDN w:val="0"/>
        <w:adjustRightInd w:val="0"/>
        <w:spacing w:before="24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Η ΔΕΑ</w:t>
      </w:r>
      <w:r w:rsidR="002A0893" w:rsidRPr="004B44C6">
        <w:rPr>
          <w:rFonts w:ascii="Calibri" w:hAnsi="Calibri" w:cs="Calibri"/>
        </w:rPr>
        <w:t xml:space="preserve"> </w:t>
      </w:r>
      <w:r w:rsidR="00225FC3" w:rsidRPr="004B44C6">
        <w:rPr>
          <w:rFonts w:ascii="Calibri" w:hAnsi="Calibri" w:cs="Calibri"/>
        </w:rPr>
        <w:t>ακολουθεί τ</w:t>
      </w:r>
      <w:r w:rsidR="002A0893" w:rsidRPr="004B44C6">
        <w:rPr>
          <w:rFonts w:ascii="Calibri" w:hAnsi="Calibri" w:cs="Calibri"/>
        </w:rPr>
        <w:t xml:space="preserve">ις αρχές </w:t>
      </w:r>
      <w:r w:rsidR="006E7782" w:rsidRPr="004B44C6">
        <w:rPr>
          <w:rFonts w:ascii="Calibri" w:hAnsi="Calibri" w:cs="Calibri"/>
        </w:rPr>
        <w:t>τ</w:t>
      </w:r>
      <w:r w:rsidR="00225FC3" w:rsidRPr="004B44C6">
        <w:rPr>
          <w:rFonts w:ascii="Calibri" w:hAnsi="Calibri" w:cs="Calibri"/>
        </w:rPr>
        <w:t xml:space="preserve">ου άρθρου 58 του ν. 5078/2023 (ΦΕΚ Α΄211), καθώς και των συναφών άρθρων 52, 54 και 55 που ενσωματώνουν τα αντίστοιχα άρθρα 49, 45, 47 και 48 </w:t>
      </w:r>
      <w:r w:rsidRPr="004B44C6">
        <w:rPr>
          <w:rFonts w:ascii="Calibri" w:hAnsi="Calibri" w:cs="Calibri"/>
        </w:rPr>
        <w:t xml:space="preserve">της </w:t>
      </w:r>
      <w:r w:rsidR="007F47D0" w:rsidRPr="004B44C6">
        <w:rPr>
          <w:rFonts w:ascii="Calibri" w:hAnsi="Calibri" w:cs="Calibri"/>
        </w:rPr>
        <w:t>Ο</w:t>
      </w:r>
      <w:r w:rsidRPr="004B44C6">
        <w:rPr>
          <w:rFonts w:ascii="Calibri" w:hAnsi="Calibri" w:cs="Calibri"/>
        </w:rPr>
        <w:t xml:space="preserve">δηγίας </w:t>
      </w:r>
      <w:r w:rsidRPr="004B44C6">
        <w:rPr>
          <w:rFonts w:ascii="Calibri" w:hAnsi="Calibri" w:cs="Calibri"/>
          <w:lang w:val="en-US"/>
        </w:rPr>
        <w:t>IORP</w:t>
      </w:r>
      <w:r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  <w:lang w:val="en-US"/>
        </w:rPr>
        <w:t>II</w:t>
      </w:r>
      <w:r w:rsidR="00225FC3" w:rsidRPr="004B44C6">
        <w:rPr>
          <w:rFonts w:ascii="Calibri" w:hAnsi="Calibri" w:cs="Calibri"/>
        </w:rPr>
        <w:t xml:space="preserve">. </w:t>
      </w:r>
      <w:r w:rsidR="00BD7AD4" w:rsidRPr="004B44C6">
        <w:rPr>
          <w:rFonts w:ascii="Calibri" w:hAnsi="Calibri" w:cs="Calibri"/>
        </w:rPr>
        <w:t xml:space="preserve">Οι μέθοδοι που περιγράφονται αφορούν στην εφαρμογή από την Τράπεζα της Ελλάδος ενός ολοκληρωμένου πλαισίου εποπτείας για </w:t>
      </w:r>
      <w:r w:rsidR="00766ECB" w:rsidRPr="004B44C6">
        <w:rPr>
          <w:rFonts w:ascii="Calibri" w:hAnsi="Calibri" w:cs="Calibri"/>
        </w:rPr>
        <w:t xml:space="preserve">τα εποπτευόμενα </w:t>
      </w:r>
      <w:r w:rsidR="00167F98" w:rsidRPr="004B44C6">
        <w:rPr>
          <w:rFonts w:ascii="Calibri" w:hAnsi="Calibri" w:cs="Calibri"/>
        </w:rPr>
        <w:t>Τ.Ε.Α.</w:t>
      </w:r>
      <w:r w:rsidR="00766ECB" w:rsidRPr="004B44C6">
        <w:rPr>
          <w:rFonts w:ascii="Calibri" w:hAnsi="Calibri" w:cs="Calibri"/>
        </w:rPr>
        <w:t xml:space="preserve"> </w:t>
      </w:r>
      <w:r w:rsidR="00BD7AD4" w:rsidRPr="004B44C6">
        <w:rPr>
          <w:rFonts w:ascii="Calibri" w:hAnsi="Calibri" w:cs="Calibri"/>
        </w:rPr>
        <w:t xml:space="preserve">επί τη βάσει </w:t>
      </w:r>
      <w:r w:rsidR="00225FC3" w:rsidRPr="004B44C6">
        <w:rPr>
          <w:rFonts w:ascii="Calibri" w:hAnsi="Calibri" w:cs="Calibri"/>
        </w:rPr>
        <w:t xml:space="preserve">μακροχρόνιας, </w:t>
      </w:r>
      <w:r w:rsidR="00BD7AD4" w:rsidRPr="004B44C6">
        <w:rPr>
          <w:rFonts w:ascii="Calibri" w:hAnsi="Calibri" w:cs="Calibri"/>
        </w:rPr>
        <w:t xml:space="preserve">διερευνητικής και βασισμένης στον κίνδυνο προσέγγισης, ανάλογης προς τη φύση, την πολυπλοκότητα και την κλίμακα των κινδύνων που </w:t>
      </w:r>
      <w:r w:rsidR="00766ECB" w:rsidRPr="004B44C6">
        <w:rPr>
          <w:rFonts w:ascii="Calibri" w:hAnsi="Calibri" w:cs="Calibri"/>
        </w:rPr>
        <w:t>το</w:t>
      </w:r>
      <w:r w:rsidR="00BD7AD4" w:rsidRPr="004B44C6">
        <w:rPr>
          <w:rFonts w:ascii="Calibri" w:hAnsi="Calibri" w:cs="Calibri"/>
        </w:rPr>
        <w:t xml:space="preserve"> κάθε </w:t>
      </w:r>
      <w:r w:rsidR="00167F98" w:rsidRPr="004B44C6">
        <w:rPr>
          <w:rFonts w:ascii="Calibri" w:hAnsi="Calibri" w:cs="Calibri"/>
        </w:rPr>
        <w:t>Τ.Ε.Α.</w:t>
      </w:r>
      <w:r w:rsidR="00766ECB" w:rsidRPr="004B44C6">
        <w:rPr>
          <w:rFonts w:ascii="Calibri" w:hAnsi="Calibri" w:cs="Calibri"/>
        </w:rPr>
        <w:t xml:space="preserve"> </w:t>
      </w:r>
      <w:r w:rsidR="00BD7AD4" w:rsidRPr="004B44C6">
        <w:rPr>
          <w:rFonts w:ascii="Calibri" w:hAnsi="Calibri" w:cs="Calibri"/>
        </w:rPr>
        <w:t xml:space="preserve">αναλαμβάνει σύμφωνα με τις </w:t>
      </w:r>
      <w:r w:rsidR="00BD7AD4" w:rsidRPr="00DD1133">
        <w:rPr>
          <w:rFonts w:ascii="Calibri" w:eastAsia="Arial Unicode MS" w:hAnsi="Calibri" w:cs="Calibri"/>
        </w:rPr>
        <w:t xml:space="preserve">δραστηριότητές </w:t>
      </w:r>
      <w:r w:rsidR="00766ECB" w:rsidRPr="00DD1133">
        <w:rPr>
          <w:rFonts w:ascii="Calibri" w:eastAsia="Arial Unicode MS" w:hAnsi="Calibri" w:cs="Calibri"/>
        </w:rPr>
        <w:t>του</w:t>
      </w:r>
      <w:r w:rsidR="00BD7AD4" w:rsidRPr="00DD1133">
        <w:rPr>
          <w:rFonts w:ascii="Calibri" w:eastAsia="Arial Unicode MS" w:hAnsi="Calibri" w:cs="Calibri"/>
        </w:rPr>
        <w:t xml:space="preserve">. </w:t>
      </w:r>
      <w:r w:rsidR="00A53139" w:rsidRPr="00DD1133">
        <w:rPr>
          <w:rFonts w:ascii="Calibri" w:eastAsia="Arial Unicode MS" w:hAnsi="Calibri" w:cs="Calibri"/>
        </w:rPr>
        <w:t xml:space="preserve">Με αυτόν τον τρόπο παρέχεται διαφανής και αναλυτική περιγραφή </w:t>
      </w:r>
      <w:r w:rsidR="0018781F" w:rsidRPr="004B44C6">
        <w:rPr>
          <w:rFonts w:ascii="Calibri" w:eastAsia="Arial Unicode MS" w:hAnsi="Calibri" w:cs="Calibri"/>
        </w:rPr>
        <w:t>των κριτηρίων και των αρχών</w:t>
      </w:r>
      <w:r w:rsidR="006C010F">
        <w:rPr>
          <w:rFonts w:ascii="Calibri" w:eastAsia="Arial Unicode MS" w:hAnsi="Calibri" w:cs="Calibri"/>
        </w:rPr>
        <w:t>,</w:t>
      </w:r>
      <w:r w:rsidR="0018781F" w:rsidRPr="004B44C6">
        <w:rPr>
          <w:rFonts w:ascii="Calibri" w:eastAsia="Arial Unicode MS" w:hAnsi="Calibri" w:cs="Calibri"/>
        </w:rPr>
        <w:t xml:space="preserve"> τις οποίες ακολουθεί η Τράπεζα της Ελλάδος κατά τη </w:t>
      </w:r>
      <w:r w:rsidR="00D23BCD" w:rsidRPr="004B44C6">
        <w:rPr>
          <w:rFonts w:ascii="Calibri" w:eastAsia="Arial Unicode MS" w:hAnsi="Calibri" w:cs="Calibri"/>
        </w:rPr>
        <w:t>ΔΕΑ</w:t>
      </w:r>
      <w:r w:rsidR="00357441" w:rsidRPr="004B44C6">
        <w:rPr>
          <w:rFonts w:ascii="Calibri" w:eastAsia="Arial Unicode MS" w:hAnsi="Calibri" w:cs="Calibri"/>
        </w:rPr>
        <w:t xml:space="preserve">, </w:t>
      </w:r>
      <w:r w:rsidR="00A53139" w:rsidRPr="004B44C6">
        <w:rPr>
          <w:rFonts w:ascii="Calibri" w:eastAsia="Arial Unicode MS" w:hAnsi="Calibri" w:cs="Calibri"/>
        </w:rPr>
        <w:t>και</w:t>
      </w:r>
      <w:r w:rsidR="00357441" w:rsidRPr="004B44C6">
        <w:rPr>
          <w:rFonts w:ascii="Calibri" w:eastAsia="Arial Unicode MS" w:hAnsi="Calibri" w:cs="Calibri"/>
        </w:rPr>
        <w:t xml:space="preserve"> </w:t>
      </w:r>
      <w:r w:rsidR="00A53139" w:rsidRPr="004B44C6">
        <w:rPr>
          <w:rFonts w:ascii="Calibri" w:eastAsia="Arial Unicode MS" w:hAnsi="Calibri" w:cs="Calibri"/>
        </w:rPr>
        <w:t>ειδικότερα</w:t>
      </w:r>
      <w:r w:rsidR="00357441" w:rsidRPr="004B44C6">
        <w:rPr>
          <w:rFonts w:ascii="Calibri" w:eastAsia="Arial Unicode MS" w:hAnsi="Calibri" w:cs="Calibri"/>
        </w:rPr>
        <w:t>,</w:t>
      </w:r>
      <w:r w:rsidR="00A53139" w:rsidRPr="004B44C6">
        <w:rPr>
          <w:rFonts w:ascii="Calibri" w:eastAsia="Arial Unicode MS" w:hAnsi="Calibri" w:cs="Calibri"/>
        </w:rPr>
        <w:t xml:space="preserve"> για την εφαρμογή των άρθρω</w:t>
      </w:r>
      <w:r w:rsidR="00225FC3" w:rsidRPr="004B44C6">
        <w:rPr>
          <w:rFonts w:ascii="Calibri" w:eastAsia="Arial Unicode MS" w:hAnsi="Calibri" w:cs="Calibri"/>
        </w:rPr>
        <w:t xml:space="preserve">ν </w:t>
      </w:r>
      <w:r w:rsidR="005D7CD5" w:rsidRPr="00DD1133">
        <w:rPr>
          <w:rFonts w:ascii="Calibri" w:eastAsia="Arial Unicode MS" w:hAnsi="Calibri" w:cs="Calibri"/>
        </w:rPr>
        <w:t xml:space="preserve">52, </w:t>
      </w:r>
      <w:r w:rsidR="00225FC3" w:rsidRPr="00DD1133">
        <w:rPr>
          <w:rFonts w:ascii="Calibri" w:eastAsia="Arial Unicode MS" w:hAnsi="Calibri" w:cs="Calibri"/>
        </w:rPr>
        <w:t xml:space="preserve">53, </w:t>
      </w:r>
      <w:r w:rsidR="005D7CD5" w:rsidRPr="00DD1133">
        <w:rPr>
          <w:rFonts w:ascii="Calibri" w:eastAsia="Arial Unicode MS" w:hAnsi="Calibri" w:cs="Calibri"/>
        </w:rPr>
        <w:t>54, 55</w:t>
      </w:r>
      <w:r w:rsidR="009B355D" w:rsidRPr="00DD1133">
        <w:rPr>
          <w:rFonts w:ascii="Calibri" w:eastAsia="Arial Unicode MS" w:hAnsi="Calibri" w:cs="Calibri"/>
        </w:rPr>
        <w:t>,</w:t>
      </w:r>
      <w:r w:rsidR="005D7CD5" w:rsidRPr="00DD1133">
        <w:rPr>
          <w:rFonts w:ascii="Calibri" w:eastAsia="Arial Unicode MS" w:hAnsi="Calibri" w:cs="Calibri"/>
        </w:rPr>
        <w:t xml:space="preserve"> </w:t>
      </w:r>
      <w:r w:rsidR="00225FC3" w:rsidRPr="00DD1133">
        <w:rPr>
          <w:rFonts w:ascii="Calibri" w:eastAsia="Arial Unicode MS" w:hAnsi="Calibri" w:cs="Calibri"/>
        </w:rPr>
        <w:t xml:space="preserve">58, </w:t>
      </w:r>
      <w:r w:rsidR="005D7CD5" w:rsidRPr="00DD1133">
        <w:rPr>
          <w:rFonts w:ascii="Calibri" w:eastAsia="Arial Unicode MS" w:hAnsi="Calibri" w:cs="Calibri"/>
        </w:rPr>
        <w:t>59</w:t>
      </w:r>
      <w:r w:rsidR="009B355D" w:rsidRPr="00DD1133">
        <w:rPr>
          <w:rFonts w:ascii="Calibri" w:eastAsia="Arial Unicode MS" w:hAnsi="Calibri" w:cs="Calibri"/>
        </w:rPr>
        <w:t>, 81 και 83</w:t>
      </w:r>
      <w:r w:rsidR="009B355D" w:rsidRPr="004B44C6">
        <w:rPr>
          <w:rFonts w:ascii="Calibri" w:eastAsia="Arial Unicode MS" w:hAnsi="Calibri" w:cs="Calibri"/>
        </w:rPr>
        <w:t xml:space="preserve"> </w:t>
      </w:r>
      <w:r w:rsidR="00BD7AD4" w:rsidRPr="00DD1133">
        <w:rPr>
          <w:rFonts w:ascii="Calibri" w:eastAsia="Arial Unicode MS" w:hAnsi="Calibri" w:cs="Calibri"/>
        </w:rPr>
        <w:t xml:space="preserve">του </w:t>
      </w:r>
      <w:r w:rsidR="002B29B4" w:rsidRPr="00DD1133">
        <w:rPr>
          <w:rFonts w:ascii="Calibri" w:eastAsia="Arial Unicode MS" w:hAnsi="Calibri" w:cs="Calibri"/>
        </w:rPr>
        <w:t xml:space="preserve">ν. </w:t>
      </w:r>
      <w:r w:rsidR="00A5178F" w:rsidRPr="004B44C6">
        <w:rPr>
          <w:rFonts w:ascii="Calibri" w:eastAsia="Arial Unicode MS" w:hAnsi="Calibri" w:cs="Calibri"/>
        </w:rPr>
        <w:t>5078/202</w:t>
      </w:r>
      <w:r w:rsidR="00337F10" w:rsidRPr="004B44C6">
        <w:rPr>
          <w:rFonts w:ascii="Calibri" w:eastAsia="Arial Unicode MS" w:hAnsi="Calibri" w:cs="Calibri"/>
        </w:rPr>
        <w:t>3</w:t>
      </w:r>
      <w:r w:rsidR="00A5178F" w:rsidRPr="004B44C6">
        <w:rPr>
          <w:rFonts w:ascii="Calibri" w:eastAsia="Arial Unicode MS" w:hAnsi="Calibri" w:cs="Calibri"/>
        </w:rPr>
        <w:t xml:space="preserve"> </w:t>
      </w:r>
      <w:r w:rsidR="005D7CD5" w:rsidRPr="004B44C6">
        <w:rPr>
          <w:rFonts w:ascii="Calibri" w:eastAsia="Arial Unicode MS" w:hAnsi="Calibri" w:cs="Calibri"/>
        </w:rPr>
        <w:t>(</w:t>
      </w:r>
      <w:r w:rsidR="00A5178F" w:rsidRPr="004B44C6">
        <w:rPr>
          <w:rFonts w:ascii="Calibri" w:eastAsia="Arial Unicode MS" w:hAnsi="Calibri" w:cs="Calibri"/>
        </w:rPr>
        <w:t xml:space="preserve">ΦΕΚ </w:t>
      </w:r>
      <w:r w:rsidR="009030B4" w:rsidRPr="004B44C6">
        <w:rPr>
          <w:rFonts w:ascii="Calibri" w:eastAsia="Arial Unicode MS" w:hAnsi="Calibri" w:cs="Calibri"/>
        </w:rPr>
        <w:t>Α</w:t>
      </w:r>
      <w:r w:rsidR="004B44C6" w:rsidRPr="004B44C6">
        <w:rPr>
          <w:rFonts w:ascii="Calibri" w:eastAsia="Arial Unicode MS" w:hAnsi="Calibri" w:cs="Calibri"/>
        </w:rPr>
        <w:t>΄</w:t>
      </w:r>
      <w:r w:rsidR="009030B4" w:rsidRPr="004B44C6">
        <w:rPr>
          <w:rFonts w:ascii="Calibri" w:eastAsia="Arial Unicode MS" w:hAnsi="Calibri" w:cs="Calibri"/>
        </w:rPr>
        <w:t xml:space="preserve"> </w:t>
      </w:r>
      <w:r w:rsidR="005D7CD5" w:rsidRPr="004B44C6">
        <w:rPr>
          <w:rFonts w:ascii="Calibri" w:eastAsia="Arial Unicode MS" w:hAnsi="Calibri" w:cs="Calibri"/>
        </w:rPr>
        <w:t>211</w:t>
      </w:r>
      <w:r w:rsidR="004B44C6" w:rsidRPr="00DD1133">
        <w:rPr>
          <w:rFonts w:eastAsia="Arial Unicode MS"/>
        </w:rPr>
        <w:t>).</w:t>
      </w:r>
    </w:p>
    <w:p w14:paraId="097BD49A" w14:textId="77777777" w:rsidR="00A53139" w:rsidRPr="004B44C6" w:rsidRDefault="00A53139" w:rsidP="00CA7583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color w:val="FF0000"/>
        </w:rPr>
      </w:pPr>
    </w:p>
    <w:p w14:paraId="39E4DF6D" w14:textId="46DF7ED7" w:rsidR="004B44C6" w:rsidRDefault="00551D22" w:rsidP="004B44C6">
      <w:pPr>
        <w:pStyle w:val="Heading2"/>
        <w:numPr>
          <w:ilvl w:val="1"/>
          <w:numId w:val="30"/>
        </w:numPr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Περιγραφή </w:t>
      </w:r>
      <w:r w:rsidR="00001B32" w:rsidRPr="004B44C6">
        <w:rPr>
          <w:rFonts w:ascii="Calibri" w:hAnsi="Calibri" w:cs="Calibri"/>
          <w:sz w:val="24"/>
          <w:szCs w:val="24"/>
        </w:rPr>
        <w:t>Διαδικασία</w:t>
      </w:r>
      <w:r>
        <w:rPr>
          <w:rFonts w:ascii="Calibri" w:hAnsi="Calibri" w:cs="Calibri"/>
          <w:sz w:val="24"/>
          <w:szCs w:val="24"/>
        </w:rPr>
        <w:t>ς</w:t>
      </w:r>
      <w:r w:rsidR="00001B32" w:rsidRPr="004B44C6">
        <w:rPr>
          <w:rFonts w:ascii="Calibri" w:hAnsi="Calibri" w:cs="Calibri"/>
          <w:sz w:val="24"/>
          <w:szCs w:val="24"/>
        </w:rPr>
        <w:t xml:space="preserve"> </w:t>
      </w:r>
      <w:r w:rsidR="00F470AD" w:rsidRPr="004B44C6">
        <w:rPr>
          <w:rFonts w:ascii="Calibri" w:hAnsi="Calibri" w:cs="Calibri"/>
          <w:sz w:val="24"/>
          <w:szCs w:val="24"/>
        </w:rPr>
        <w:t>Ε</w:t>
      </w:r>
      <w:r w:rsidR="00001B32" w:rsidRPr="004B44C6">
        <w:rPr>
          <w:rFonts w:ascii="Calibri" w:hAnsi="Calibri" w:cs="Calibri"/>
          <w:sz w:val="24"/>
          <w:szCs w:val="24"/>
        </w:rPr>
        <w:t xml:space="preserve">ποπτικής </w:t>
      </w:r>
      <w:r w:rsidR="00F470AD" w:rsidRPr="004B44C6">
        <w:rPr>
          <w:rFonts w:ascii="Calibri" w:hAnsi="Calibri" w:cs="Calibri"/>
          <w:sz w:val="24"/>
          <w:szCs w:val="24"/>
        </w:rPr>
        <w:t>Α</w:t>
      </w:r>
      <w:r w:rsidR="00001B32" w:rsidRPr="004B44C6">
        <w:rPr>
          <w:rFonts w:ascii="Calibri" w:hAnsi="Calibri" w:cs="Calibri"/>
          <w:sz w:val="24"/>
          <w:szCs w:val="24"/>
        </w:rPr>
        <w:t>ξιολόγησης</w:t>
      </w:r>
    </w:p>
    <w:p w14:paraId="6E97DB01" w14:textId="025CB6FE" w:rsidR="00E22CA8" w:rsidRPr="004B44C6" w:rsidRDefault="0090065D" w:rsidP="004B44C6">
      <w:pPr>
        <w:pStyle w:val="Heading2"/>
        <w:rPr>
          <w:rFonts w:ascii="Calibri" w:hAnsi="Calibri" w:cs="Calibri"/>
          <w:sz w:val="24"/>
          <w:szCs w:val="24"/>
        </w:rPr>
      </w:pPr>
      <w:r w:rsidRPr="004B44C6">
        <w:rPr>
          <w:rFonts w:ascii="Calibri" w:hAnsi="Calibri" w:cs="Calibri"/>
          <w:sz w:val="24"/>
          <w:szCs w:val="24"/>
        </w:rPr>
        <w:t xml:space="preserve"> </w:t>
      </w:r>
    </w:p>
    <w:p w14:paraId="52B9A501" w14:textId="77777777" w:rsidR="00BD7AD4" w:rsidRPr="004B44C6" w:rsidRDefault="00BD7AD4" w:rsidP="004B44C6">
      <w:pPr>
        <w:pStyle w:val="Heading2"/>
        <w:numPr>
          <w:ilvl w:val="2"/>
          <w:numId w:val="30"/>
        </w:numPr>
        <w:ind w:left="0" w:firstLine="0"/>
        <w:rPr>
          <w:rFonts w:ascii="Calibri" w:hAnsi="Calibri" w:cs="Calibri"/>
          <w:sz w:val="24"/>
          <w:szCs w:val="24"/>
        </w:rPr>
      </w:pPr>
      <w:r w:rsidRPr="004B44C6">
        <w:rPr>
          <w:rFonts w:ascii="Calibri" w:eastAsia="Arial Unicode MS" w:hAnsi="Calibri" w:cs="Calibri"/>
          <w:b/>
          <w:sz w:val="24"/>
          <w:szCs w:val="24"/>
          <w:lang w:eastAsia="en-US"/>
        </w:rPr>
        <w:t>Διεξαγωγή της ΔΕΑ</w:t>
      </w:r>
    </w:p>
    <w:p w14:paraId="36FC0A14" w14:textId="2FCC4D96" w:rsidR="00BD7AD4" w:rsidRPr="004B44C6" w:rsidRDefault="00BD7AD4" w:rsidP="00CA7583">
      <w:pPr>
        <w:spacing w:before="120" w:after="120"/>
        <w:jc w:val="both"/>
        <w:rPr>
          <w:rFonts w:ascii="Calibri" w:eastAsia="Arial Unicode MS" w:hAnsi="Calibri" w:cs="Calibri"/>
          <w:lang w:eastAsia="en-US"/>
        </w:rPr>
      </w:pPr>
      <w:r w:rsidRPr="004B44C6">
        <w:rPr>
          <w:rFonts w:ascii="Calibri" w:eastAsia="Arial Unicode MS" w:hAnsi="Calibri" w:cs="Calibri"/>
          <w:lang w:eastAsia="en-US"/>
        </w:rPr>
        <w:t xml:space="preserve">Η </w:t>
      </w:r>
      <w:r w:rsidR="000D5B72" w:rsidRPr="004B44C6">
        <w:rPr>
          <w:rFonts w:ascii="Calibri" w:eastAsia="Arial Unicode MS" w:hAnsi="Calibri" w:cs="Calibri"/>
          <w:lang w:eastAsia="en-US"/>
        </w:rPr>
        <w:t>ΔΕΑ</w:t>
      </w:r>
      <w:r w:rsidRPr="004B44C6">
        <w:rPr>
          <w:rFonts w:ascii="Calibri" w:eastAsia="Arial Unicode MS" w:hAnsi="Calibri" w:cs="Calibri"/>
          <w:lang w:eastAsia="en-US"/>
        </w:rPr>
        <w:t xml:space="preserve"> του άρθρου </w:t>
      </w:r>
      <w:r w:rsidR="00B23B2F" w:rsidRPr="004B44C6">
        <w:rPr>
          <w:rFonts w:ascii="Calibri" w:eastAsia="Arial Unicode MS" w:hAnsi="Calibri" w:cs="Calibri"/>
          <w:lang w:eastAsia="en-US"/>
        </w:rPr>
        <w:t xml:space="preserve">58 </w:t>
      </w:r>
      <w:r w:rsidRPr="004B44C6">
        <w:rPr>
          <w:rFonts w:ascii="Calibri" w:eastAsia="Arial Unicode MS" w:hAnsi="Calibri" w:cs="Calibri"/>
          <w:lang w:eastAsia="en-US"/>
        </w:rPr>
        <w:t xml:space="preserve">του </w:t>
      </w:r>
      <w:r w:rsidR="00001B32" w:rsidRPr="004B44C6">
        <w:rPr>
          <w:rFonts w:ascii="Calibri" w:hAnsi="Calibri" w:cs="Calibri"/>
        </w:rPr>
        <w:t xml:space="preserve">ν. </w:t>
      </w:r>
      <w:r w:rsidR="00B23B2F" w:rsidRPr="004B44C6">
        <w:rPr>
          <w:rFonts w:ascii="Calibri" w:hAnsi="Calibri" w:cs="Calibri"/>
        </w:rPr>
        <w:t>5078/2023 (</w:t>
      </w:r>
      <w:r w:rsidR="00624BF1" w:rsidRPr="004B44C6">
        <w:rPr>
          <w:rFonts w:ascii="Calibri" w:eastAsia="Arial Unicode MS" w:hAnsi="Calibri" w:cs="Calibri"/>
        </w:rPr>
        <w:t>ΦΕΚ 211 Α)</w:t>
      </w:r>
      <w:r w:rsidR="00624BF1" w:rsidRPr="004B44C6">
        <w:rPr>
          <w:rFonts w:ascii="Calibri" w:eastAsia="Arial Unicode MS" w:hAnsi="Calibri" w:cs="Calibri"/>
          <w:lang w:eastAsia="en-US"/>
        </w:rPr>
        <w:t xml:space="preserve"> </w:t>
      </w:r>
      <w:r w:rsidRPr="004B44C6">
        <w:rPr>
          <w:rFonts w:ascii="Calibri" w:eastAsia="Arial Unicode MS" w:hAnsi="Calibri" w:cs="Calibri"/>
          <w:lang w:eastAsia="en-US"/>
        </w:rPr>
        <w:t xml:space="preserve">επί των </w:t>
      </w:r>
      <w:r w:rsidR="00167F98" w:rsidRPr="004B44C6">
        <w:rPr>
          <w:rFonts w:ascii="Calibri" w:eastAsia="Arial Unicode MS" w:hAnsi="Calibri" w:cs="Calibri"/>
          <w:lang w:eastAsia="en-US"/>
        </w:rPr>
        <w:t>Τ.Ε.Α.</w:t>
      </w:r>
      <w:r w:rsidRPr="004B44C6">
        <w:rPr>
          <w:rFonts w:ascii="Calibri" w:eastAsia="Arial Unicode MS" w:hAnsi="Calibri" w:cs="Calibri"/>
          <w:lang w:eastAsia="en-US"/>
        </w:rPr>
        <w:t xml:space="preserve"> διενεργείται </w:t>
      </w:r>
      <w:r w:rsidR="00F470AD" w:rsidRPr="004B44C6">
        <w:rPr>
          <w:rFonts w:ascii="Calibri" w:eastAsia="Arial Unicode MS" w:hAnsi="Calibri" w:cs="Calibri"/>
          <w:lang w:eastAsia="en-US"/>
        </w:rPr>
        <w:t xml:space="preserve">από την Τράπεζα της Ελλάδος </w:t>
      </w:r>
      <w:r w:rsidRPr="004B44C6">
        <w:rPr>
          <w:rFonts w:ascii="Calibri" w:eastAsia="Arial Unicode MS" w:hAnsi="Calibri" w:cs="Calibri"/>
          <w:lang w:eastAsia="en-US"/>
        </w:rPr>
        <w:t xml:space="preserve">με διαχρονική συνέπεια εντός των κατά νόμο </w:t>
      </w:r>
      <w:r w:rsidR="00C84EA6" w:rsidRPr="004B44C6">
        <w:rPr>
          <w:rFonts w:ascii="Calibri" w:eastAsia="Arial Unicode MS" w:hAnsi="Calibri" w:cs="Calibri"/>
          <w:lang w:eastAsia="en-US"/>
        </w:rPr>
        <w:t>προβλεπόμενων</w:t>
      </w:r>
      <w:r w:rsidRPr="004B44C6">
        <w:rPr>
          <w:rFonts w:ascii="Calibri" w:eastAsia="Arial Unicode MS" w:hAnsi="Calibri" w:cs="Calibri"/>
          <w:lang w:eastAsia="en-US"/>
        </w:rPr>
        <w:t xml:space="preserve"> αρμοδιοτήτων της, λαμβάνοντας υπόψη την ανάγκη για ευελιξία και ορθή εποπτική κρίση. Η </w:t>
      </w:r>
      <w:r w:rsidR="00A677D5" w:rsidRPr="004B44C6">
        <w:rPr>
          <w:rFonts w:ascii="Calibri" w:eastAsia="Arial Unicode MS" w:hAnsi="Calibri" w:cs="Calibri"/>
          <w:lang w:eastAsia="en-US"/>
        </w:rPr>
        <w:t>δ</w:t>
      </w:r>
      <w:r w:rsidRPr="004B44C6">
        <w:rPr>
          <w:rFonts w:ascii="Calibri" w:eastAsia="Arial Unicode MS" w:hAnsi="Calibri" w:cs="Calibri"/>
          <w:lang w:eastAsia="en-US"/>
        </w:rPr>
        <w:t xml:space="preserve">ιαδικασία περιλαμβάνει </w:t>
      </w:r>
      <w:r w:rsidR="00F470AD" w:rsidRPr="004B44C6">
        <w:rPr>
          <w:rFonts w:ascii="Calibri" w:eastAsia="Arial Unicode MS" w:hAnsi="Calibri" w:cs="Calibri"/>
          <w:lang w:eastAsia="en-US"/>
        </w:rPr>
        <w:t>τα παρακάτω τρία στάδια</w:t>
      </w:r>
      <w:r w:rsidRPr="004B44C6">
        <w:rPr>
          <w:rFonts w:ascii="Calibri" w:eastAsia="Arial Unicode MS" w:hAnsi="Calibri" w:cs="Calibri"/>
          <w:lang w:eastAsia="en-US"/>
        </w:rPr>
        <w:t xml:space="preserve">: </w:t>
      </w:r>
    </w:p>
    <w:p w14:paraId="7E1B7E9F" w14:textId="77777777" w:rsidR="00BD7AD4" w:rsidRPr="004B44C6" w:rsidRDefault="00BD7AD4" w:rsidP="00CA7583">
      <w:pPr>
        <w:pStyle w:val="ListParagraph"/>
        <w:numPr>
          <w:ilvl w:val="0"/>
          <w:numId w:val="28"/>
        </w:numPr>
        <w:jc w:val="both"/>
        <w:rPr>
          <w:rFonts w:ascii="Calibri" w:eastAsia="Arial Unicode MS" w:hAnsi="Calibri" w:cs="Calibri"/>
          <w:lang w:eastAsia="en-US"/>
        </w:rPr>
      </w:pPr>
      <w:r w:rsidRPr="004B44C6">
        <w:rPr>
          <w:rFonts w:ascii="Calibri" w:eastAsia="Arial Unicode MS" w:hAnsi="Calibri" w:cs="Calibri"/>
          <w:lang w:eastAsia="en-US"/>
        </w:rPr>
        <w:t xml:space="preserve">το πλαίσιο αξιολόγησης κινδύνων, </w:t>
      </w:r>
    </w:p>
    <w:p w14:paraId="7FD5A666" w14:textId="1DFE2B65" w:rsidR="00BD7AD4" w:rsidRPr="004B44C6" w:rsidRDefault="00BD7AD4" w:rsidP="00CA7583">
      <w:pPr>
        <w:pStyle w:val="ListParagraph"/>
        <w:numPr>
          <w:ilvl w:val="0"/>
          <w:numId w:val="28"/>
        </w:numPr>
        <w:jc w:val="both"/>
        <w:rPr>
          <w:rFonts w:ascii="Calibri" w:eastAsia="Arial Unicode MS" w:hAnsi="Calibri" w:cs="Calibri"/>
          <w:lang w:eastAsia="en-US"/>
        </w:rPr>
      </w:pPr>
      <w:r w:rsidRPr="004B44C6">
        <w:rPr>
          <w:rFonts w:ascii="Calibri" w:eastAsia="Arial Unicode MS" w:hAnsi="Calibri" w:cs="Calibri"/>
          <w:lang w:eastAsia="en-US"/>
        </w:rPr>
        <w:t>τη λεπτομερή εξέταση</w:t>
      </w:r>
      <w:r w:rsidR="00F37635" w:rsidRPr="004B44C6">
        <w:rPr>
          <w:rFonts w:ascii="Calibri" w:eastAsia="Arial Unicode MS" w:hAnsi="Calibri" w:cs="Calibri"/>
          <w:lang w:eastAsia="en-US"/>
        </w:rPr>
        <w:t xml:space="preserve"> και αξιολόγηση</w:t>
      </w:r>
      <w:r w:rsidR="006A00D2" w:rsidRPr="004B44C6">
        <w:rPr>
          <w:rFonts w:ascii="Calibri" w:eastAsia="Arial Unicode MS" w:hAnsi="Calibri" w:cs="Calibri"/>
          <w:lang w:eastAsia="en-US"/>
        </w:rPr>
        <w:t xml:space="preserve"> </w:t>
      </w:r>
      <w:r w:rsidR="00B440CC" w:rsidRPr="004B44C6">
        <w:rPr>
          <w:rFonts w:ascii="Calibri" w:eastAsia="Arial Unicode MS" w:hAnsi="Calibri" w:cs="Calibri"/>
          <w:lang w:eastAsia="en-US"/>
        </w:rPr>
        <w:t>στρατηγικών, διεργασιών και διαδικασιών πληροφόρησης</w:t>
      </w:r>
      <w:r w:rsidRPr="004B44C6">
        <w:rPr>
          <w:rFonts w:ascii="Calibri" w:eastAsia="Arial Unicode MS" w:hAnsi="Calibri" w:cs="Calibri"/>
          <w:lang w:eastAsia="en-US"/>
        </w:rPr>
        <w:t xml:space="preserve">, και </w:t>
      </w:r>
    </w:p>
    <w:p w14:paraId="425D9502" w14:textId="4FF4C638" w:rsidR="00BD7AD4" w:rsidRPr="004B44C6" w:rsidRDefault="00BD7AD4" w:rsidP="00CA7583">
      <w:pPr>
        <w:pStyle w:val="ListParagraph"/>
        <w:numPr>
          <w:ilvl w:val="0"/>
          <w:numId w:val="28"/>
        </w:numPr>
        <w:spacing w:after="120"/>
        <w:ind w:left="714" w:hanging="357"/>
        <w:jc w:val="both"/>
        <w:rPr>
          <w:rFonts w:ascii="Calibri" w:eastAsia="Arial Unicode MS" w:hAnsi="Calibri" w:cs="Calibri"/>
          <w:lang w:eastAsia="en-US"/>
        </w:rPr>
      </w:pPr>
      <w:r w:rsidRPr="004B44C6">
        <w:rPr>
          <w:rFonts w:ascii="Calibri" w:eastAsia="Arial Unicode MS" w:hAnsi="Calibri" w:cs="Calibri"/>
          <w:lang w:eastAsia="en-US"/>
        </w:rPr>
        <w:t>τ</w:t>
      </w:r>
      <w:r w:rsidR="006C010F">
        <w:rPr>
          <w:rFonts w:ascii="Calibri" w:eastAsia="Arial Unicode MS" w:hAnsi="Calibri" w:cs="Calibri"/>
          <w:lang w:eastAsia="en-US"/>
        </w:rPr>
        <w:t xml:space="preserve">η </w:t>
      </w:r>
      <w:r w:rsidR="00382A60">
        <w:rPr>
          <w:rFonts w:ascii="Calibri" w:eastAsia="Arial Unicode MS" w:hAnsi="Calibri" w:cs="Calibri"/>
          <w:lang w:eastAsia="en-US"/>
        </w:rPr>
        <w:t>χρήση</w:t>
      </w:r>
      <w:r w:rsidRPr="004B44C6">
        <w:rPr>
          <w:rFonts w:ascii="Calibri" w:eastAsia="Arial Unicode MS" w:hAnsi="Calibri" w:cs="Calibri"/>
          <w:lang w:eastAsia="en-US"/>
        </w:rPr>
        <w:t xml:space="preserve"> εποπτικ</w:t>
      </w:r>
      <w:r w:rsidR="006C010F">
        <w:rPr>
          <w:rFonts w:ascii="Calibri" w:eastAsia="Arial Unicode MS" w:hAnsi="Calibri" w:cs="Calibri"/>
          <w:lang w:eastAsia="en-US"/>
        </w:rPr>
        <w:t>ών</w:t>
      </w:r>
      <w:r w:rsidRPr="004B44C6">
        <w:rPr>
          <w:rFonts w:ascii="Calibri" w:eastAsia="Arial Unicode MS" w:hAnsi="Calibri" w:cs="Calibri"/>
          <w:lang w:eastAsia="en-US"/>
        </w:rPr>
        <w:t xml:space="preserve"> </w:t>
      </w:r>
      <w:r w:rsidR="00B440CC" w:rsidRPr="004B44C6">
        <w:rPr>
          <w:rFonts w:ascii="Calibri" w:eastAsia="Arial Unicode MS" w:hAnsi="Calibri" w:cs="Calibri"/>
          <w:lang w:eastAsia="en-US"/>
        </w:rPr>
        <w:t>εργαλεί</w:t>
      </w:r>
      <w:r w:rsidR="006C010F">
        <w:rPr>
          <w:rFonts w:ascii="Calibri" w:eastAsia="Arial Unicode MS" w:hAnsi="Calibri" w:cs="Calibri"/>
          <w:lang w:eastAsia="en-US"/>
        </w:rPr>
        <w:t>ων</w:t>
      </w:r>
      <w:r w:rsidR="00B440CC" w:rsidRPr="004B44C6">
        <w:rPr>
          <w:rFonts w:ascii="Calibri" w:eastAsia="Arial Unicode MS" w:hAnsi="Calibri" w:cs="Calibri"/>
          <w:lang w:eastAsia="en-US"/>
        </w:rPr>
        <w:t xml:space="preserve"> και </w:t>
      </w:r>
      <w:r w:rsidR="00382A60">
        <w:rPr>
          <w:rFonts w:ascii="Calibri" w:eastAsia="Arial Unicode MS" w:hAnsi="Calibri" w:cs="Calibri"/>
          <w:lang w:eastAsia="en-US"/>
        </w:rPr>
        <w:t xml:space="preserve">τη λήψη κατάλληλων </w:t>
      </w:r>
      <w:r w:rsidRPr="004B44C6">
        <w:rPr>
          <w:rFonts w:ascii="Calibri" w:eastAsia="Arial Unicode MS" w:hAnsi="Calibri" w:cs="Calibri"/>
          <w:lang w:eastAsia="en-US"/>
        </w:rPr>
        <w:t>μέτρ</w:t>
      </w:r>
      <w:r w:rsidR="006C010F">
        <w:rPr>
          <w:rFonts w:ascii="Calibri" w:eastAsia="Arial Unicode MS" w:hAnsi="Calibri" w:cs="Calibri"/>
          <w:lang w:eastAsia="en-US"/>
        </w:rPr>
        <w:t>ων</w:t>
      </w:r>
      <w:r w:rsidRPr="004B44C6">
        <w:rPr>
          <w:rFonts w:ascii="Calibri" w:eastAsia="Arial Unicode MS" w:hAnsi="Calibri" w:cs="Calibri"/>
          <w:lang w:eastAsia="en-US"/>
        </w:rPr>
        <w:t>.</w:t>
      </w:r>
    </w:p>
    <w:p w14:paraId="1B2A549B" w14:textId="77777777" w:rsidR="00BD7AD4" w:rsidRDefault="00BD7AD4" w:rsidP="00D16AFF">
      <w:pPr>
        <w:jc w:val="both"/>
        <w:rPr>
          <w:rFonts w:ascii="Calibri" w:eastAsia="Arial Unicode MS" w:hAnsi="Calibri" w:cs="Calibri"/>
          <w:lang w:eastAsia="en-US"/>
        </w:rPr>
      </w:pPr>
      <w:r w:rsidRPr="004B44C6">
        <w:rPr>
          <w:rFonts w:ascii="Calibri" w:eastAsia="Arial Unicode MS" w:hAnsi="Calibri" w:cs="Calibri"/>
          <w:lang w:eastAsia="en-US"/>
        </w:rPr>
        <w:t xml:space="preserve">Η αρχή της αναλογικότητας τηρείται καθ’ όλα τα στάδια </w:t>
      </w:r>
      <w:r w:rsidR="00A677D5" w:rsidRPr="004B44C6">
        <w:rPr>
          <w:rFonts w:ascii="Calibri" w:eastAsia="Arial Unicode MS" w:hAnsi="Calibri" w:cs="Calibri"/>
          <w:lang w:eastAsia="en-US"/>
        </w:rPr>
        <w:t>και τ</w:t>
      </w:r>
      <w:r w:rsidRPr="004B44C6">
        <w:rPr>
          <w:rFonts w:ascii="Calibri" w:eastAsia="Arial Unicode MS" w:hAnsi="Calibri" w:cs="Calibri"/>
          <w:lang w:eastAsia="en-US"/>
        </w:rPr>
        <w:t xml:space="preserve">α κριτήρια αξιολόγησης και οι εποπτικές δράσεις εφαρμόζονται σε κάθε στάδιο με συνέπεια. Η </w:t>
      </w:r>
      <w:r w:rsidR="000D5B72" w:rsidRPr="004B44C6">
        <w:rPr>
          <w:rFonts w:ascii="Calibri" w:eastAsia="Arial Unicode MS" w:hAnsi="Calibri" w:cs="Calibri"/>
          <w:lang w:eastAsia="en-US"/>
        </w:rPr>
        <w:t>ΔΕΑ</w:t>
      </w:r>
      <w:r w:rsidR="008C1A2F" w:rsidRPr="004B44C6">
        <w:rPr>
          <w:rFonts w:ascii="Calibri" w:eastAsia="Arial Unicode MS" w:hAnsi="Calibri" w:cs="Calibri"/>
          <w:lang w:eastAsia="en-US"/>
        </w:rPr>
        <w:t xml:space="preserve"> </w:t>
      </w:r>
      <w:r w:rsidRPr="004B44C6">
        <w:rPr>
          <w:rFonts w:ascii="Calibri" w:eastAsia="Arial Unicode MS" w:hAnsi="Calibri" w:cs="Calibri"/>
          <w:lang w:eastAsia="en-US"/>
        </w:rPr>
        <w:t xml:space="preserve">παραμένει ευέλικτη προκειμένου να υιοθετείται η κατάλληλη εποπτική κρίση ανά περίπτωση. </w:t>
      </w:r>
    </w:p>
    <w:p w14:paraId="50546A94" w14:textId="77777777" w:rsidR="00551D22" w:rsidRDefault="00551D22" w:rsidP="00D16AFF">
      <w:pPr>
        <w:jc w:val="both"/>
        <w:rPr>
          <w:rFonts w:ascii="Calibri" w:eastAsia="Arial Unicode MS" w:hAnsi="Calibri" w:cs="Calibri"/>
          <w:lang w:eastAsia="en-US"/>
        </w:rPr>
      </w:pPr>
    </w:p>
    <w:p w14:paraId="27C68A93" w14:textId="77777777" w:rsidR="00551D22" w:rsidRPr="004B44C6" w:rsidRDefault="00551D22" w:rsidP="00D16AFF">
      <w:pPr>
        <w:jc w:val="both"/>
        <w:rPr>
          <w:rFonts w:ascii="Calibri" w:eastAsia="Arial Unicode MS" w:hAnsi="Calibri" w:cs="Calibri"/>
          <w:lang w:eastAsia="en-US"/>
        </w:rPr>
      </w:pPr>
    </w:p>
    <w:p w14:paraId="6C4B6CB6" w14:textId="77777777" w:rsidR="00BD7AD4" w:rsidRPr="004B44C6" w:rsidRDefault="00BD7AD4" w:rsidP="006A7E06">
      <w:pPr>
        <w:pStyle w:val="ListParagraph"/>
        <w:numPr>
          <w:ilvl w:val="2"/>
          <w:numId w:val="30"/>
        </w:numPr>
        <w:ind w:left="709" w:hanging="709"/>
        <w:jc w:val="both"/>
        <w:rPr>
          <w:rFonts w:ascii="Calibri" w:hAnsi="Calibri" w:cs="Calibri"/>
          <w:b/>
          <w:strike/>
        </w:rPr>
      </w:pPr>
      <w:r w:rsidRPr="004B44C6">
        <w:rPr>
          <w:rFonts w:ascii="Calibri" w:hAnsi="Calibri" w:cs="Calibri"/>
          <w:b/>
        </w:rPr>
        <w:t xml:space="preserve">Διαρκής επικοινωνία με </w:t>
      </w:r>
      <w:r w:rsidR="00B23B2F" w:rsidRPr="004B44C6">
        <w:rPr>
          <w:rFonts w:ascii="Calibri" w:hAnsi="Calibri" w:cs="Calibri"/>
          <w:b/>
        </w:rPr>
        <w:t xml:space="preserve">τα Τ.Ε.Α. </w:t>
      </w:r>
    </w:p>
    <w:p w14:paraId="24967549" w14:textId="02485B17" w:rsidR="00BD7AD4" w:rsidRDefault="00BD7AD4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Προκειμένου για την άσκηση αποτελεσματικής εποπτείας, η Τράπεζα της Ελλάδος βρίσκεται σε διαρκή επικοινωνία με </w:t>
      </w:r>
      <w:r w:rsidR="00B23B2F" w:rsidRPr="004B44C6">
        <w:rPr>
          <w:rFonts w:ascii="Calibri" w:hAnsi="Calibri" w:cs="Calibri"/>
        </w:rPr>
        <w:t>τα εποπτευόμενα Τ.Ε.Α.</w:t>
      </w:r>
    </w:p>
    <w:p w14:paraId="78CD1D7A" w14:textId="77777777" w:rsidR="004B44C6" w:rsidRPr="004B44C6" w:rsidRDefault="004B44C6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</w:p>
    <w:p w14:paraId="14EBBDD0" w14:textId="77777777" w:rsidR="002002DD" w:rsidRPr="004B44C6" w:rsidRDefault="00BD7AD4" w:rsidP="006A7E06">
      <w:pPr>
        <w:pStyle w:val="ListParagraph"/>
        <w:numPr>
          <w:ilvl w:val="2"/>
          <w:numId w:val="30"/>
        </w:numPr>
        <w:spacing w:before="120" w:after="120"/>
        <w:ind w:left="0" w:firstLine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  <w:b/>
          <w:bCs/>
        </w:rPr>
        <w:t>Διαρκής επικοινωνία και συνεργασία με άλλες εποπτικές αρχές</w:t>
      </w:r>
      <w:r w:rsidR="0018781F" w:rsidRPr="004B44C6">
        <w:rPr>
          <w:rFonts w:ascii="Calibri" w:hAnsi="Calibri" w:cs="Calibri"/>
          <w:b/>
          <w:bCs/>
        </w:rPr>
        <w:t xml:space="preserve"> </w:t>
      </w:r>
    </w:p>
    <w:p w14:paraId="32DD9FA4" w14:textId="7C6522D0" w:rsidR="00BD7AD4" w:rsidRPr="004B44C6" w:rsidRDefault="00BD7AD4" w:rsidP="002002DD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Η Τράπεζα της Ελλάδος διατηρεί την κατάλληλη επικοινωνία και συνεργασία με τις </w:t>
      </w:r>
      <w:r w:rsidR="009030B4" w:rsidRPr="004B44C6">
        <w:rPr>
          <w:rFonts w:ascii="Calibri" w:hAnsi="Calibri" w:cs="Calibri"/>
        </w:rPr>
        <w:t>αντίστοιχες</w:t>
      </w:r>
      <w:r w:rsidR="009B355D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 xml:space="preserve">αρμόδιες εποπτικές αρχές των άλλων </w:t>
      </w:r>
      <w:r w:rsidR="00357441" w:rsidRPr="004B44C6">
        <w:rPr>
          <w:rFonts w:ascii="Calibri" w:hAnsi="Calibri" w:cs="Calibri"/>
        </w:rPr>
        <w:t>κρατών-</w:t>
      </w:r>
      <w:r w:rsidRPr="004B44C6">
        <w:rPr>
          <w:rFonts w:ascii="Calibri" w:hAnsi="Calibri" w:cs="Calibri"/>
        </w:rPr>
        <w:t xml:space="preserve">μελών της Ευρωπαϊκής Ένωσης σε κάθε </w:t>
      </w:r>
      <w:r w:rsidRPr="00DD1133">
        <w:rPr>
          <w:rFonts w:ascii="Calibri" w:hAnsi="Calibri" w:cs="Calibri"/>
        </w:rPr>
        <w:t xml:space="preserve">στάδιο της </w:t>
      </w:r>
      <w:r w:rsidR="008C1A2F" w:rsidRPr="00DD1133">
        <w:rPr>
          <w:rFonts w:ascii="Calibri" w:hAnsi="Calibri" w:cs="Calibri"/>
        </w:rPr>
        <w:t>ΔΕΑ</w:t>
      </w:r>
      <w:r w:rsidR="006C010F">
        <w:rPr>
          <w:rFonts w:ascii="Calibri" w:hAnsi="Calibri" w:cs="Calibri"/>
        </w:rPr>
        <w:t>˙</w:t>
      </w:r>
      <w:r w:rsidRPr="00DD1133">
        <w:rPr>
          <w:rFonts w:ascii="Calibri" w:hAnsi="Calibri" w:cs="Calibri"/>
        </w:rPr>
        <w:t xml:space="preserve"> για τη </w:t>
      </w:r>
      <w:r w:rsidR="00AF6FEE" w:rsidRPr="00DD1133">
        <w:rPr>
          <w:rFonts w:ascii="Calibri" w:hAnsi="Calibri" w:cs="Calibri"/>
        </w:rPr>
        <w:t xml:space="preserve">δε </w:t>
      </w:r>
      <w:r w:rsidRPr="00DD1133">
        <w:rPr>
          <w:rFonts w:ascii="Calibri" w:hAnsi="Calibri" w:cs="Calibri"/>
        </w:rPr>
        <w:t>συνεργασία της με εποπτικές αρχές τρίτων χωρών, συνάπτει με αυτές σχετικά μνημόνια συνεργασίας.</w:t>
      </w:r>
    </w:p>
    <w:p w14:paraId="7B423090" w14:textId="77777777" w:rsidR="00001B32" w:rsidRPr="004B44C6" w:rsidRDefault="00001B32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</w:p>
    <w:p w14:paraId="354E0A49" w14:textId="77777777" w:rsidR="006A7E06" w:rsidRPr="004B44C6" w:rsidRDefault="00BD7AD4" w:rsidP="00D16AFF">
      <w:pPr>
        <w:pStyle w:val="ListParagraph"/>
        <w:numPr>
          <w:ilvl w:val="2"/>
          <w:numId w:val="32"/>
        </w:num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  <w:b/>
        </w:rPr>
        <w:t>Τεκμηρίωση</w:t>
      </w:r>
    </w:p>
    <w:p w14:paraId="0DED63AC" w14:textId="0E33B27F" w:rsidR="00BD7AD4" w:rsidRDefault="00334F49" w:rsidP="006A7E06">
      <w:pPr>
        <w:spacing w:before="120" w:after="120"/>
        <w:jc w:val="both"/>
        <w:rPr>
          <w:rFonts w:ascii="Calibri" w:hAnsi="Calibri" w:cs="Calibri"/>
          <w:lang w:val="en-US"/>
        </w:rPr>
      </w:pPr>
      <w:r w:rsidRPr="004B44C6">
        <w:rPr>
          <w:rFonts w:ascii="Calibri" w:hAnsi="Calibri" w:cs="Calibri"/>
        </w:rPr>
        <w:t>Τ</w:t>
      </w:r>
      <w:r w:rsidR="00BD7AD4" w:rsidRPr="004B44C6">
        <w:rPr>
          <w:rFonts w:ascii="Calibri" w:hAnsi="Calibri" w:cs="Calibri"/>
        </w:rPr>
        <w:t xml:space="preserve">α συμπεράσματα της </w:t>
      </w:r>
      <w:r w:rsidR="008C1A2F" w:rsidRPr="004B44C6">
        <w:rPr>
          <w:rFonts w:ascii="Calibri" w:hAnsi="Calibri" w:cs="Calibri"/>
        </w:rPr>
        <w:t>ΔΕΑ</w:t>
      </w:r>
      <w:r w:rsidR="00BD7AD4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>τεκμηριώνονται</w:t>
      </w:r>
      <w:r w:rsidR="00BD7AD4" w:rsidRPr="004B44C6">
        <w:rPr>
          <w:rFonts w:ascii="Calibri" w:hAnsi="Calibri" w:cs="Calibri"/>
        </w:rPr>
        <w:t xml:space="preserve"> δυνάμει συγκεκριμένων στοιχείων τα οποία είναι </w:t>
      </w:r>
      <w:proofErr w:type="spellStart"/>
      <w:r w:rsidR="00BD7AD4" w:rsidRPr="004B44C6">
        <w:rPr>
          <w:rFonts w:ascii="Calibri" w:hAnsi="Calibri" w:cs="Calibri"/>
        </w:rPr>
        <w:t>προσβάσιμα</w:t>
      </w:r>
      <w:proofErr w:type="spellEnd"/>
      <w:r w:rsidR="00BD7AD4" w:rsidRPr="004B44C6">
        <w:rPr>
          <w:rFonts w:ascii="Calibri" w:hAnsi="Calibri" w:cs="Calibri"/>
        </w:rPr>
        <w:t xml:space="preserve"> από τα αρμόδια στελέχη </w:t>
      </w:r>
      <w:r w:rsidR="00D513D9" w:rsidRPr="004B44C6">
        <w:rPr>
          <w:rFonts w:ascii="Calibri" w:hAnsi="Calibri" w:cs="Calibri"/>
        </w:rPr>
        <w:t>της εποπτικής αρχής, όπως αναλύονται στην Ενότητα 2</w:t>
      </w:r>
      <w:r w:rsidR="00C72821" w:rsidRPr="004B44C6">
        <w:rPr>
          <w:rFonts w:ascii="Calibri" w:hAnsi="Calibri" w:cs="Calibri"/>
        </w:rPr>
        <w:t xml:space="preserve"> – Στάδια ΔΕΑ</w:t>
      </w:r>
      <w:r w:rsidR="00BD7AD4" w:rsidRPr="004B44C6">
        <w:rPr>
          <w:rFonts w:ascii="Calibri" w:hAnsi="Calibri" w:cs="Calibri"/>
        </w:rPr>
        <w:t>. Για τις εν λόγω πληροφορίες τηρείται κατάλληλο επίπεδο εμπιστευτικότητας.</w:t>
      </w:r>
    </w:p>
    <w:p w14:paraId="003BFA82" w14:textId="77777777" w:rsidR="00A85203" w:rsidRPr="00A85203" w:rsidRDefault="00A85203" w:rsidP="006A7E06">
      <w:pPr>
        <w:spacing w:before="120" w:after="120"/>
        <w:jc w:val="both"/>
        <w:rPr>
          <w:rFonts w:ascii="Calibri" w:hAnsi="Calibri" w:cs="Calibri"/>
          <w:lang w:val="en-US"/>
        </w:rPr>
      </w:pPr>
    </w:p>
    <w:p w14:paraId="3AFA91CB" w14:textId="77777777" w:rsidR="00BD7AD4" w:rsidRPr="004B44C6" w:rsidRDefault="00BD7AD4" w:rsidP="00E22CA8">
      <w:pPr>
        <w:pStyle w:val="ListParagraph"/>
        <w:numPr>
          <w:ilvl w:val="2"/>
          <w:numId w:val="32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>Διακυβέρνηση και τακτική επανεξέταση της ΔΕΑ</w:t>
      </w:r>
      <w:r w:rsidR="00001B32" w:rsidRPr="004B44C6">
        <w:rPr>
          <w:rFonts w:ascii="Calibri" w:hAnsi="Calibri" w:cs="Calibri"/>
          <w:b/>
        </w:rPr>
        <w:t xml:space="preserve"> </w:t>
      </w:r>
    </w:p>
    <w:p w14:paraId="39B7E1E0" w14:textId="77777777" w:rsidR="00BD7AD4" w:rsidRPr="003D328A" w:rsidRDefault="00110B82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Η</w:t>
      </w:r>
      <w:r w:rsidR="00BD7AD4" w:rsidRPr="004B44C6">
        <w:rPr>
          <w:rFonts w:ascii="Calibri" w:hAnsi="Calibri" w:cs="Calibri"/>
        </w:rPr>
        <w:t xml:space="preserve"> </w:t>
      </w:r>
      <w:r w:rsidR="002F727D" w:rsidRPr="004B44C6">
        <w:rPr>
          <w:rFonts w:ascii="Calibri" w:hAnsi="Calibri" w:cs="Calibri"/>
        </w:rPr>
        <w:t>μέθοδος διεξαγωγής της</w:t>
      </w:r>
      <w:r w:rsidR="002F727D" w:rsidRPr="004B44C6" w:rsidDel="000D5B72">
        <w:rPr>
          <w:rFonts w:ascii="Calibri" w:hAnsi="Calibri" w:cs="Calibri"/>
        </w:rPr>
        <w:t xml:space="preserve"> </w:t>
      </w:r>
      <w:r w:rsidR="000D5B72" w:rsidRPr="004B44C6">
        <w:rPr>
          <w:rFonts w:ascii="Calibri" w:hAnsi="Calibri" w:cs="Calibri"/>
        </w:rPr>
        <w:t>ΔΕΑ</w:t>
      </w:r>
      <w:r w:rsidR="008C1A2F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>παρακολουθείται</w:t>
      </w:r>
      <w:r w:rsidR="002F727D" w:rsidRPr="004B44C6">
        <w:rPr>
          <w:rFonts w:ascii="Calibri" w:hAnsi="Calibri" w:cs="Calibri"/>
        </w:rPr>
        <w:t xml:space="preserve"> και επανεξετάζεται</w:t>
      </w:r>
      <w:r w:rsidR="00BD7AD4" w:rsidRPr="004B44C6">
        <w:rPr>
          <w:rFonts w:ascii="Calibri" w:hAnsi="Calibri" w:cs="Calibri"/>
        </w:rPr>
        <w:t>, προκειμένου να διασφαλίζεται η αποτελεσματικότητ</w:t>
      </w:r>
      <w:r w:rsidR="002F727D" w:rsidRPr="004B44C6">
        <w:rPr>
          <w:rFonts w:ascii="Calibri" w:hAnsi="Calibri" w:cs="Calibri"/>
        </w:rPr>
        <w:t xml:space="preserve">α και η </w:t>
      </w:r>
      <w:proofErr w:type="spellStart"/>
      <w:r w:rsidR="00BD7AD4" w:rsidRPr="004B44C6">
        <w:rPr>
          <w:rFonts w:ascii="Calibri" w:hAnsi="Calibri" w:cs="Calibri"/>
        </w:rPr>
        <w:t>καταλληλότητ</w:t>
      </w:r>
      <w:r w:rsidR="002F727D" w:rsidRPr="004B44C6">
        <w:rPr>
          <w:rFonts w:ascii="Calibri" w:hAnsi="Calibri" w:cs="Calibri"/>
        </w:rPr>
        <w:t>ά</w:t>
      </w:r>
      <w:proofErr w:type="spellEnd"/>
      <w:r w:rsidR="002F727D" w:rsidRPr="004B44C6">
        <w:rPr>
          <w:rFonts w:ascii="Calibri" w:hAnsi="Calibri" w:cs="Calibri"/>
        </w:rPr>
        <w:t xml:space="preserve"> της σε διαρκή βάση.</w:t>
      </w:r>
      <w:r w:rsidR="00BD7AD4" w:rsidRPr="004B44C6">
        <w:rPr>
          <w:rFonts w:ascii="Calibri" w:hAnsi="Calibri" w:cs="Calibri"/>
        </w:rPr>
        <w:t xml:space="preserve"> </w:t>
      </w:r>
    </w:p>
    <w:p w14:paraId="3B21B65F" w14:textId="77777777" w:rsidR="00A85203" w:rsidRPr="003D328A" w:rsidRDefault="00A85203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</w:p>
    <w:p w14:paraId="46724B50" w14:textId="4C1ADACB" w:rsidR="00BD7AD4" w:rsidRPr="00DD1133" w:rsidRDefault="00BD7AD4" w:rsidP="00A569DE">
      <w:pPr>
        <w:pStyle w:val="ListParagraph"/>
        <w:numPr>
          <w:ilvl w:val="1"/>
          <w:numId w:val="32"/>
        </w:numPr>
        <w:spacing w:before="240"/>
        <w:jc w:val="both"/>
        <w:rPr>
          <w:rFonts w:ascii="Calibri" w:hAnsi="Calibri" w:cs="Calibri"/>
          <w:b/>
          <w:iCs/>
        </w:rPr>
      </w:pPr>
      <w:r w:rsidRPr="00DD1133">
        <w:rPr>
          <w:rFonts w:ascii="Calibri" w:hAnsi="Calibri" w:cs="Calibri"/>
          <w:b/>
          <w:iCs/>
        </w:rPr>
        <w:t>Στοιχεία που χρησιμοποιούνται στο πλαίσιο της ΔΕΑ</w:t>
      </w:r>
      <w:r w:rsidR="00A95424" w:rsidRPr="00DD1133">
        <w:rPr>
          <w:rFonts w:ascii="Calibri" w:hAnsi="Calibri" w:cs="Calibri"/>
          <w:b/>
          <w:iCs/>
        </w:rPr>
        <w:t xml:space="preserve"> </w:t>
      </w:r>
    </w:p>
    <w:p w14:paraId="29C019E0" w14:textId="77777777" w:rsidR="00BD7AD4" w:rsidRPr="004B44C6" w:rsidRDefault="00110B82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Η</w:t>
      </w:r>
      <w:r w:rsidR="00BD7AD4" w:rsidRPr="004B44C6">
        <w:rPr>
          <w:rFonts w:ascii="Calibri" w:hAnsi="Calibri" w:cs="Calibri"/>
        </w:rPr>
        <w:t xml:space="preserve"> </w:t>
      </w:r>
      <w:r w:rsidR="000D5B72" w:rsidRPr="004B44C6">
        <w:rPr>
          <w:rFonts w:ascii="Calibri" w:hAnsi="Calibri" w:cs="Calibri"/>
        </w:rPr>
        <w:t>ΔΕΑ</w:t>
      </w:r>
      <w:r w:rsidR="00BD7AD4" w:rsidRPr="004B44C6">
        <w:rPr>
          <w:rFonts w:ascii="Calibri" w:hAnsi="Calibri" w:cs="Calibri"/>
        </w:rPr>
        <w:t xml:space="preserve"> λαμβάνει, κατά περίπτωση, υπόψη σχετικές πληροφορίες που αντλούνται από διάφορες πηγές, όπως:</w:t>
      </w:r>
    </w:p>
    <w:p w14:paraId="49AD69BC" w14:textId="77777777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α) τακτικές</w:t>
      </w:r>
      <w:r w:rsidR="00A95424" w:rsidRPr="004B44C6">
        <w:rPr>
          <w:rFonts w:ascii="Calibri" w:hAnsi="Calibri" w:cs="Calibri"/>
        </w:rPr>
        <w:t>/</w:t>
      </w:r>
      <w:r w:rsidRPr="004B44C6">
        <w:rPr>
          <w:rFonts w:ascii="Calibri" w:hAnsi="Calibri" w:cs="Calibri"/>
        </w:rPr>
        <w:t>έκτακτες ποσοτικές και ποιοτικές</w:t>
      </w:r>
      <w:r w:rsidR="00A95424" w:rsidRPr="004B44C6">
        <w:rPr>
          <w:rFonts w:ascii="Calibri" w:hAnsi="Calibri" w:cs="Calibri"/>
        </w:rPr>
        <w:t xml:space="preserve"> αναφορές</w:t>
      </w:r>
      <w:r w:rsidRPr="004B44C6">
        <w:rPr>
          <w:rFonts w:ascii="Calibri" w:hAnsi="Calibri" w:cs="Calibri"/>
        </w:rPr>
        <w:t xml:space="preserve">, τυχόν θεματικές αξιολογήσεις ή αποτελέσματα </w:t>
      </w:r>
      <w:r w:rsidR="00510F2A" w:rsidRPr="004B44C6">
        <w:rPr>
          <w:rFonts w:ascii="Calibri" w:hAnsi="Calibri" w:cs="Calibri"/>
        </w:rPr>
        <w:t xml:space="preserve">ασκήσεων </w:t>
      </w:r>
      <w:r w:rsidRPr="004B44C6">
        <w:rPr>
          <w:rFonts w:ascii="Calibri" w:hAnsi="Calibri" w:cs="Calibri"/>
        </w:rPr>
        <w:t>προσομο</w:t>
      </w:r>
      <w:r w:rsidR="00884A48" w:rsidRPr="004B44C6">
        <w:rPr>
          <w:rFonts w:ascii="Calibri" w:hAnsi="Calibri" w:cs="Calibri"/>
        </w:rPr>
        <w:t>ίωσης</w:t>
      </w:r>
      <w:r w:rsidRPr="004B44C6">
        <w:rPr>
          <w:rFonts w:ascii="Calibri" w:hAnsi="Calibri" w:cs="Calibri"/>
        </w:rPr>
        <w:t xml:space="preserve"> ακραίων καταστάσεων,</w:t>
      </w:r>
    </w:p>
    <w:p w14:paraId="1CBE3674" w14:textId="1BC75BBF" w:rsidR="00BD7AD4" w:rsidRPr="004B44C6" w:rsidRDefault="00BD7AD4" w:rsidP="00D16AFF">
      <w:pPr>
        <w:spacing w:before="120" w:after="120"/>
        <w:jc w:val="both"/>
        <w:rPr>
          <w:rFonts w:ascii="Calibri" w:hAnsi="Calibri" w:cs="Calibri"/>
          <w:strike/>
        </w:rPr>
      </w:pPr>
      <w:r w:rsidRPr="004B44C6">
        <w:rPr>
          <w:rFonts w:ascii="Calibri" w:hAnsi="Calibri" w:cs="Calibri"/>
        </w:rPr>
        <w:t>β) ιστορικά στοιχεία, δείκτες έγκαιρης προειδοποίησης, δείκτες κινδύνου</w:t>
      </w:r>
      <w:r w:rsidR="54720363" w:rsidRPr="004B44C6">
        <w:rPr>
          <w:rFonts w:ascii="Calibri" w:hAnsi="Calibri" w:cs="Calibri"/>
        </w:rPr>
        <w:t>,</w:t>
      </w:r>
    </w:p>
    <w:p w14:paraId="483BBBDC" w14:textId="073B35C2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γ) αποτελέσματα αξιολογήσεων κινδύνων</w:t>
      </w:r>
      <w:r w:rsidR="006A7E06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</w:t>
      </w:r>
    </w:p>
    <w:p w14:paraId="5AC4836F" w14:textId="76DAC6F9" w:rsidR="00284E2D" w:rsidRPr="004B44C6" w:rsidRDefault="00284E2D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δ) προηγούμενα ευρήματα και πορίσματα,</w:t>
      </w:r>
    </w:p>
    <w:p w14:paraId="36A2B7D8" w14:textId="21E0D3F2" w:rsidR="00BD7AD4" w:rsidRPr="004B44C6" w:rsidRDefault="00284E2D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ε</w:t>
      </w:r>
      <w:r w:rsidR="00BD7AD4" w:rsidRPr="004B44C6">
        <w:rPr>
          <w:rFonts w:ascii="Calibri" w:hAnsi="Calibri" w:cs="Calibri"/>
        </w:rPr>
        <w:t>) κάθε στοιχείο που μπορεί να αντληθεί από άλλες αρμόδιες αρχές</w:t>
      </w:r>
      <w:r w:rsidR="008869C6" w:rsidRPr="004B44C6">
        <w:rPr>
          <w:rFonts w:ascii="Calibri" w:hAnsi="Calibri" w:cs="Calibri"/>
        </w:rPr>
        <w:t xml:space="preserve"> ή/και την </w:t>
      </w:r>
      <w:r w:rsidR="008869C6" w:rsidRPr="004B44C6">
        <w:rPr>
          <w:rFonts w:ascii="Calibri" w:hAnsi="Calibri" w:cs="Calibri"/>
          <w:lang w:val="en-US"/>
        </w:rPr>
        <w:t>EIOPA</w:t>
      </w:r>
      <w:r w:rsidR="00BD7AD4" w:rsidRPr="004B44C6">
        <w:rPr>
          <w:rFonts w:ascii="Calibri" w:hAnsi="Calibri" w:cs="Calibri"/>
        </w:rPr>
        <w:t>,</w:t>
      </w:r>
    </w:p>
    <w:p w14:paraId="1B73B9E7" w14:textId="13C69DE5" w:rsidR="00BD7AD4" w:rsidRDefault="00284E2D" w:rsidP="00CA7583">
      <w:pPr>
        <w:spacing w:before="120"/>
        <w:jc w:val="both"/>
        <w:rPr>
          <w:rFonts w:ascii="Calibri" w:hAnsi="Calibri" w:cs="Calibri"/>
        </w:rPr>
      </w:pPr>
      <w:proofErr w:type="spellStart"/>
      <w:r w:rsidRPr="004B44C6">
        <w:rPr>
          <w:rFonts w:ascii="Calibri" w:hAnsi="Calibri" w:cs="Calibri"/>
        </w:rPr>
        <w:t>στ</w:t>
      </w:r>
      <w:proofErr w:type="spellEnd"/>
      <w:r w:rsidR="00BD7AD4" w:rsidRPr="004B44C6">
        <w:rPr>
          <w:rFonts w:ascii="Calibri" w:hAnsi="Calibri" w:cs="Calibri"/>
        </w:rPr>
        <w:t xml:space="preserve">) αναλύσεις, μελέτες, τυχόν τεχνικές ερευνητικές εργασίες </w:t>
      </w:r>
      <w:r w:rsidR="009B355D" w:rsidRPr="004B44C6">
        <w:rPr>
          <w:rFonts w:ascii="Calibri" w:hAnsi="Calibri" w:cs="Calibri"/>
        </w:rPr>
        <w:t xml:space="preserve">της Τράπεζας της Ελλάδος </w:t>
      </w:r>
      <w:r w:rsidR="00BD7AD4" w:rsidRPr="004B44C6">
        <w:rPr>
          <w:rFonts w:ascii="Calibri" w:hAnsi="Calibri" w:cs="Calibri"/>
        </w:rPr>
        <w:t>και κάθε είδους πληροφορίες που μπορ</w:t>
      </w:r>
      <w:r w:rsidR="00510F2A" w:rsidRPr="004B44C6">
        <w:rPr>
          <w:rFonts w:ascii="Calibri" w:hAnsi="Calibri" w:cs="Calibri"/>
        </w:rPr>
        <w:t>ούν</w:t>
      </w:r>
      <w:r w:rsidR="00BD7AD4" w:rsidRPr="004B44C6">
        <w:rPr>
          <w:rFonts w:ascii="Calibri" w:hAnsi="Calibri" w:cs="Calibri"/>
        </w:rPr>
        <w:t xml:space="preserve"> να αντληθούν από </w:t>
      </w:r>
      <w:r w:rsidR="009B355D" w:rsidRPr="004B44C6">
        <w:rPr>
          <w:rFonts w:ascii="Calibri" w:hAnsi="Calibri" w:cs="Calibri"/>
        </w:rPr>
        <w:t>τον τύπο και τα μέσα ενημέρωσης</w:t>
      </w:r>
      <w:r w:rsidR="008869C6" w:rsidRPr="004B44C6">
        <w:rPr>
          <w:rFonts w:ascii="Calibri" w:hAnsi="Calibri" w:cs="Calibri"/>
        </w:rPr>
        <w:t>.</w:t>
      </w:r>
      <w:r w:rsidR="004B44C6">
        <w:rPr>
          <w:rFonts w:ascii="Calibri" w:hAnsi="Calibri" w:cs="Calibri"/>
        </w:rPr>
        <w:t xml:space="preserve"> </w:t>
      </w:r>
    </w:p>
    <w:p w14:paraId="00B2AF06" w14:textId="77777777" w:rsidR="00A85203" w:rsidRPr="003D328A" w:rsidRDefault="00A85203" w:rsidP="00CA7583">
      <w:pPr>
        <w:spacing w:before="120"/>
        <w:jc w:val="both"/>
        <w:rPr>
          <w:rFonts w:ascii="Calibri" w:hAnsi="Calibri" w:cs="Calibri"/>
        </w:rPr>
      </w:pPr>
    </w:p>
    <w:p w14:paraId="0A330F48" w14:textId="77777777" w:rsidR="00B845AE" w:rsidRPr="00DD1133" w:rsidRDefault="00B845AE" w:rsidP="00E22CA8">
      <w:pPr>
        <w:pStyle w:val="ListParagraph"/>
        <w:numPr>
          <w:ilvl w:val="0"/>
          <w:numId w:val="32"/>
        </w:numPr>
        <w:spacing w:before="240" w:after="240"/>
        <w:ind w:left="0" w:firstLine="0"/>
        <w:jc w:val="both"/>
        <w:rPr>
          <w:rFonts w:ascii="Calibri" w:hAnsi="Calibri" w:cs="Calibri"/>
          <w:b/>
          <w:iCs/>
        </w:rPr>
      </w:pPr>
      <w:r w:rsidRPr="00DD1133">
        <w:rPr>
          <w:rFonts w:ascii="Calibri" w:hAnsi="Calibri" w:cs="Calibri"/>
          <w:b/>
          <w:iCs/>
        </w:rPr>
        <w:t>Στάδια ΔΕΑ</w:t>
      </w:r>
    </w:p>
    <w:p w14:paraId="63DE05FC" w14:textId="77777777" w:rsidR="00BD7AD4" w:rsidRPr="00DD1133" w:rsidRDefault="00155936" w:rsidP="00E22CA8">
      <w:pPr>
        <w:pStyle w:val="ListParagraph"/>
        <w:numPr>
          <w:ilvl w:val="1"/>
          <w:numId w:val="32"/>
        </w:numPr>
        <w:spacing w:before="240" w:after="240"/>
        <w:jc w:val="both"/>
        <w:rPr>
          <w:rFonts w:ascii="Calibri" w:hAnsi="Calibri" w:cs="Calibri"/>
          <w:b/>
          <w:iCs/>
        </w:rPr>
      </w:pPr>
      <w:r w:rsidRPr="00DD1133">
        <w:rPr>
          <w:rFonts w:ascii="Calibri" w:hAnsi="Calibri" w:cs="Calibri"/>
          <w:b/>
          <w:iCs/>
        </w:rPr>
        <w:t xml:space="preserve">Πλαίσιο αξιολόγησης κινδύνων </w:t>
      </w:r>
    </w:p>
    <w:p w14:paraId="579883AA" w14:textId="06BEE01B" w:rsidR="00BD7AD4" w:rsidRPr="004B44C6" w:rsidRDefault="00E22CA8" w:rsidP="00E22CA8">
      <w:pPr>
        <w:keepNext/>
        <w:jc w:val="both"/>
        <w:rPr>
          <w:rFonts w:ascii="Calibri" w:hAnsi="Calibri" w:cs="Calibri"/>
          <w:b/>
          <w:strike/>
        </w:rPr>
      </w:pPr>
      <w:r w:rsidRPr="004B44C6">
        <w:rPr>
          <w:rFonts w:ascii="Calibri" w:hAnsi="Calibri" w:cs="Calibri"/>
          <w:b/>
        </w:rPr>
        <w:t xml:space="preserve">2.1.1 </w:t>
      </w:r>
      <w:r w:rsidR="00551D22">
        <w:rPr>
          <w:rFonts w:ascii="Calibri" w:hAnsi="Calibri" w:cs="Calibri"/>
          <w:b/>
        </w:rPr>
        <w:t xml:space="preserve"> </w:t>
      </w:r>
      <w:r w:rsidR="00BD7AD4" w:rsidRPr="004B44C6">
        <w:rPr>
          <w:rFonts w:ascii="Calibri" w:hAnsi="Calibri" w:cs="Calibri"/>
          <w:b/>
        </w:rPr>
        <w:t>Εφαρμογή του Πλαισίου Αξιολόγησης Κινδύνων</w:t>
      </w:r>
    </w:p>
    <w:p w14:paraId="10FFF8E9" w14:textId="4EF588E9" w:rsidR="00BD7AD4" w:rsidRPr="004B44C6" w:rsidRDefault="00BD7AD4" w:rsidP="00D16AFF">
      <w:pPr>
        <w:pStyle w:val="ListParagraph"/>
        <w:keepNext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Η Τράπεζα της Ελλάδος εφαρμόζει πλαίσιο αξιολόγησης κινδύνων για τον εντοπισμό και την αξιολόγηση των υφιστάμενων και των μελλοντικών κινδύνων στους οποίους είναι, ή θα μπορούσαν να είναι, </w:t>
      </w:r>
      <w:r w:rsidR="00644BC3" w:rsidRPr="004B44C6">
        <w:rPr>
          <w:rFonts w:ascii="Calibri" w:hAnsi="Calibri" w:cs="Calibri"/>
        </w:rPr>
        <w:t xml:space="preserve">εκτεθειμένα τα </w:t>
      </w:r>
      <w:r w:rsidR="00167F98" w:rsidRPr="004B44C6">
        <w:rPr>
          <w:rFonts w:ascii="Calibri" w:hAnsi="Calibri" w:cs="Calibri"/>
        </w:rPr>
        <w:t>Τ.Ε.Α.</w:t>
      </w:r>
      <w:r w:rsidR="009C6A3E" w:rsidRPr="004B44C6">
        <w:rPr>
          <w:rFonts w:ascii="Calibri" w:hAnsi="Calibri" w:cs="Calibri"/>
        </w:rPr>
        <w:t>,</w:t>
      </w:r>
      <w:r w:rsidR="00644BC3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 xml:space="preserve">καθώς και για την αξιολόγηση της ικανότητας που έχουν για τη, σε συνεχή βάση, αναγνώριση, μέτρηση, παρακολούθηση, διαχείριση και αναφορά των κινδύνων. </w:t>
      </w:r>
    </w:p>
    <w:p w14:paraId="46FCC88D" w14:textId="77777777" w:rsidR="00BD7AD4" w:rsidRPr="004B44C6" w:rsidRDefault="00BD7AD4" w:rsidP="00D16AFF">
      <w:pPr>
        <w:spacing w:before="120" w:after="120"/>
        <w:jc w:val="both"/>
        <w:rPr>
          <w:rFonts w:ascii="Calibri" w:hAnsi="Calibri" w:cs="Calibri"/>
          <w:lang w:bidi="el-GR"/>
        </w:rPr>
      </w:pPr>
      <w:r w:rsidRPr="004B44C6">
        <w:rPr>
          <w:rFonts w:ascii="Calibri" w:hAnsi="Calibri" w:cs="Calibri"/>
          <w:lang w:bidi="el-GR"/>
        </w:rPr>
        <w:t xml:space="preserve">Το πλαίσιο αξιολόγησης κινδύνων </w:t>
      </w:r>
      <w:r w:rsidR="008C1A2F" w:rsidRPr="004B44C6">
        <w:rPr>
          <w:rFonts w:ascii="Calibri" w:hAnsi="Calibri" w:cs="Calibri"/>
          <w:lang w:bidi="el-GR"/>
        </w:rPr>
        <w:t>χρησιμοποιείται</w:t>
      </w:r>
      <w:r w:rsidR="00056D80" w:rsidRPr="004B44C6">
        <w:rPr>
          <w:rFonts w:ascii="Calibri" w:hAnsi="Calibri" w:cs="Calibri"/>
          <w:lang w:bidi="el-GR"/>
        </w:rPr>
        <w:t>:</w:t>
      </w:r>
    </w:p>
    <w:p w14:paraId="6AA6B51E" w14:textId="1F740EED" w:rsidR="00BD7AD4" w:rsidRPr="004B44C6" w:rsidRDefault="00BD7AD4" w:rsidP="00D16AFF">
      <w:pPr>
        <w:spacing w:before="120" w:after="120"/>
        <w:jc w:val="both"/>
        <w:rPr>
          <w:rFonts w:ascii="Calibri" w:hAnsi="Calibri" w:cs="Calibri"/>
          <w:lang w:bidi="el-GR"/>
        </w:rPr>
      </w:pPr>
      <w:r w:rsidRPr="004B44C6">
        <w:rPr>
          <w:rFonts w:ascii="Calibri" w:hAnsi="Calibri" w:cs="Calibri"/>
          <w:lang w:bidi="el-GR"/>
        </w:rPr>
        <w:t>α) στην άσκηση προληπτικής εποπτείας</w:t>
      </w:r>
    </w:p>
    <w:p w14:paraId="187F2F52" w14:textId="77777777" w:rsidR="00BD7AD4" w:rsidRPr="004B44C6" w:rsidRDefault="00BD7AD4" w:rsidP="00D16AFF">
      <w:pPr>
        <w:spacing w:before="120" w:after="120"/>
        <w:jc w:val="both"/>
        <w:rPr>
          <w:rFonts w:ascii="Calibri" w:hAnsi="Calibri" w:cs="Calibri"/>
          <w:lang w:bidi="el-GR"/>
        </w:rPr>
      </w:pPr>
      <w:r w:rsidRPr="004B44C6">
        <w:rPr>
          <w:rFonts w:ascii="Calibri" w:hAnsi="Calibri" w:cs="Calibri"/>
          <w:lang w:bidi="el-GR"/>
        </w:rPr>
        <w:t>β) στην ιεράρχηση των εποπτικών δραστηριοτήτων,</w:t>
      </w:r>
    </w:p>
    <w:p w14:paraId="62471416" w14:textId="77777777" w:rsidR="00BD7AD4" w:rsidRPr="004B44C6" w:rsidRDefault="00BD7AD4" w:rsidP="00D16AFF">
      <w:pPr>
        <w:spacing w:before="120" w:after="120"/>
        <w:jc w:val="both"/>
        <w:rPr>
          <w:rFonts w:ascii="Calibri" w:hAnsi="Calibri" w:cs="Calibri"/>
          <w:lang w:bidi="el-GR"/>
        </w:rPr>
      </w:pPr>
      <w:r w:rsidRPr="004B44C6">
        <w:rPr>
          <w:rFonts w:ascii="Calibri" w:hAnsi="Calibri" w:cs="Calibri"/>
          <w:lang w:bidi="el-GR"/>
        </w:rPr>
        <w:t>γ) στον καθορισμό της συχνότητας της τακτικής εποπτικής αναφοράς,</w:t>
      </w:r>
    </w:p>
    <w:p w14:paraId="5BDA6BC7" w14:textId="77777777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δ) στον προσδιορισμό του σκοπού, του βαθμού λεπτομέρειας και της συχνότητας των εποπτικών αναλύσεων, καθώς και των επιτόπιων ελέγχων ή και οποι</w:t>
      </w:r>
      <w:r w:rsidR="00CC6A13" w:rsidRPr="004B44C6">
        <w:rPr>
          <w:rFonts w:ascii="Calibri" w:hAnsi="Calibri" w:cs="Calibri"/>
        </w:rPr>
        <w:t>ο</w:t>
      </w:r>
      <w:r w:rsidRPr="004B44C6">
        <w:rPr>
          <w:rFonts w:ascii="Calibri" w:hAnsi="Calibri" w:cs="Calibri"/>
        </w:rPr>
        <w:t>νδήποτε άλλων ζητημάτων που είναι αναγκαία για την εποπτεία.</w:t>
      </w:r>
    </w:p>
    <w:p w14:paraId="65659EB0" w14:textId="77777777" w:rsidR="00BD7AD4" w:rsidRPr="003D328A" w:rsidRDefault="00A9542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Η </w:t>
      </w:r>
      <w:r w:rsidR="00BD7AD4" w:rsidRPr="004B44C6">
        <w:rPr>
          <w:rFonts w:ascii="Calibri" w:hAnsi="Calibri" w:cs="Calibri"/>
        </w:rPr>
        <w:t xml:space="preserve">αξιολόγηση των κινδύνων </w:t>
      </w:r>
      <w:r w:rsidRPr="004B44C6">
        <w:rPr>
          <w:rFonts w:ascii="Calibri" w:hAnsi="Calibri" w:cs="Calibri"/>
        </w:rPr>
        <w:t xml:space="preserve">πραγματοποιείται </w:t>
      </w:r>
      <w:r w:rsidR="00BD7AD4" w:rsidRPr="004B44C6">
        <w:rPr>
          <w:rFonts w:ascii="Calibri" w:hAnsi="Calibri" w:cs="Calibri"/>
        </w:rPr>
        <w:t>τουλάχιστον μ</w:t>
      </w:r>
      <w:r w:rsidR="00754821" w:rsidRPr="004B44C6">
        <w:rPr>
          <w:rFonts w:ascii="Calibri" w:hAnsi="Calibri" w:cs="Calibri"/>
        </w:rPr>
        <w:t>ι</w:t>
      </w:r>
      <w:r w:rsidR="00BD7AD4" w:rsidRPr="004B44C6">
        <w:rPr>
          <w:rFonts w:ascii="Calibri" w:hAnsi="Calibri" w:cs="Calibri"/>
        </w:rPr>
        <w:t xml:space="preserve">α φορά ετησίως. Η Τράπεζα της Ελλάδος αξιολογεί την αναγκαιότητα </w:t>
      </w:r>
      <w:proofErr w:type="spellStart"/>
      <w:r w:rsidR="00BD7AD4" w:rsidRPr="004B44C6">
        <w:rPr>
          <w:rFonts w:ascii="Calibri" w:hAnsi="Calibri" w:cs="Calibri"/>
        </w:rPr>
        <w:t>επικαιροποίησης</w:t>
      </w:r>
      <w:proofErr w:type="spellEnd"/>
      <w:r w:rsidR="00BD7AD4" w:rsidRPr="004B44C6">
        <w:rPr>
          <w:rFonts w:ascii="Calibri" w:hAnsi="Calibri" w:cs="Calibri"/>
        </w:rPr>
        <w:t xml:space="preserve"> των αποτελεσμάτων της αξιολόγησης. </w:t>
      </w:r>
    </w:p>
    <w:p w14:paraId="10FB9A28" w14:textId="77777777" w:rsidR="00A85203" w:rsidRPr="003D328A" w:rsidRDefault="00A85203" w:rsidP="00D16AFF">
      <w:pPr>
        <w:spacing w:before="120" w:after="120"/>
        <w:jc w:val="both"/>
        <w:rPr>
          <w:rFonts w:ascii="Calibri" w:hAnsi="Calibri" w:cs="Calibri"/>
        </w:rPr>
      </w:pPr>
    </w:p>
    <w:p w14:paraId="506EDA08" w14:textId="77777777" w:rsidR="00BD7AD4" w:rsidRPr="00A85203" w:rsidRDefault="00BD7AD4" w:rsidP="27B2B920">
      <w:pPr>
        <w:pStyle w:val="ListParagraph"/>
        <w:numPr>
          <w:ilvl w:val="2"/>
          <w:numId w:val="33"/>
        </w:numPr>
        <w:ind w:left="567" w:hanging="567"/>
        <w:jc w:val="both"/>
        <w:rPr>
          <w:rFonts w:ascii="Calibri" w:hAnsi="Calibri" w:cs="Calibri"/>
          <w:b/>
          <w:bCs/>
        </w:rPr>
      </w:pPr>
      <w:r w:rsidRPr="004B44C6">
        <w:rPr>
          <w:rFonts w:ascii="Calibri" w:hAnsi="Calibri" w:cs="Calibri"/>
          <w:b/>
          <w:bCs/>
        </w:rPr>
        <w:t>Δομή του πλαισίου αξιολόγησης κινδύνων</w:t>
      </w:r>
      <w:r w:rsidR="00155936" w:rsidRPr="004B44C6">
        <w:rPr>
          <w:rFonts w:ascii="Calibri" w:hAnsi="Calibri" w:cs="Calibri"/>
          <w:b/>
          <w:bCs/>
        </w:rPr>
        <w:t xml:space="preserve"> </w:t>
      </w:r>
    </w:p>
    <w:p w14:paraId="47AF4830" w14:textId="1FD57A8F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Η εποπτεία της Τράπεζας της Ελλάδος ασκείται επί τη βάσει </w:t>
      </w:r>
      <w:r w:rsidR="00551D22">
        <w:rPr>
          <w:rFonts w:ascii="Calibri" w:hAnsi="Calibri" w:cs="Calibri"/>
        </w:rPr>
        <w:t xml:space="preserve">μακροχρόνιας, </w:t>
      </w:r>
      <w:r w:rsidRPr="004B44C6">
        <w:rPr>
          <w:rFonts w:ascii="Calibri" w:hAnsi="Calibri" w:cs="Calibri"/>
        </w:rPr>
        <w:t>διερευνητικής και βασισμένης στον κίνδυνο προσέγγισης και περιλαμβάνει τα ακόλουθα στάδια:</w:t>
      </w:r>
    </w:p>
    <w:p w14:paraId="2A7126C4" w14:textId="77777777" w:rsidR="00BD7AD4" w:rsidRPr="00162F26" w:rsidRDefault="00BD7AD4" w:rsidP="007E510C">
      <w:pPr>
        <w:pStyle w:val="ListParagraph"/>
        <w:numPr>
          <w:ilvl w:val="0"/>
          <w:numId w:val="35"/>
        </w:num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bCs/>
        </w:rPr>
      </w:pPr>
      <w:r w:rsidRPr="00162F26">
        <w:rPr>
          <w:rFonts w:ascii="Calibri" w:hAnsi="Calibri" w:cs="Calibri"/>
          <w:b/>
          <w:bCs/>
        </w:rPr>
        <w:t>Αξιολόγηση των πληροφοριών</w:t>
      </w:r>
    </w:p>
    <w:p w14:paraId="51E8F210" w14:textId="22941479" w:rsidR="007E510C" w:rsidRPr="00A85203" w:rsidRDefault="00E25363" w:rsidP="007E510C">
      <w:pPr>
        <w:spacing w:before="120" w:after="120"/>
        <w:jc w:val="both"/>
        <w:rPr>
          <w:rFonts w:ascii="Calibri" w:hAnsi="Calibri" w:cs="Calibri"/>
          <w:lang w:bidi="el-GR"/>
        </w:rPr>
      </w:pPr>
      <w:r w:rsidRPr="004B44C6">
        <w:rPr>
          <w:rFonts w:ascii="Calibri" w:hAnsi="Calibri" w:cs="Calibri"/>
          <w:lang w:bidi="el-GR"/>
        </w:rPr>
        <w:t xml:space="preserve">Μετά </w:t>
      </w:r>
      <w:r w:rsidR="00BD7AD4" w:rsidRPr="004B44C6">
        <w:rPr>
          <w:rFonts w:ascii="Calibri" w:hAnsi="Calibri" w:cs="Calibri"/>
          <w:lang w:bidi="el-GR"/>
        </w:rPr>
        <w:t xml:space="preserve">τη λήψη </w:t>
      </w:r>
      <w:r w:rsidR="004F0EDE" w:rsidRPr="00D63669">
        <w:rPr>
          <w:rFonts w:ascii="Calibri" w:hAnsi="Calibri" w:cs="Calibri"/>
          <w:lang w:bidi="el-GR"/>
        </w:rPr>
        <w:t xml:space="preserve">των </w:t>
      </w:r>
      <w:r w:rsidR="00D63669" w:rsidRPr="00D63669">
        <w:rPr>
          <w:rFonts w:ascii="Calibri" w:hAnsi="Calibri" w:cs="Calibri"/>
          <w:lang w:bidi="el-GR"/>
        </w:rPr>
        <w:t>εποπτικών στοιχείων</w:t>
      </w:r>
      <w:r w:rsidR="000707CC" w:rsidRPr="00D63669">
        <w:rPr>
          <w:rFonts w:ascii="Calibri" w:hAnsi="Calibri" w:cs="Calibri"/>
          <w:lang w:bidi="el-GR"/>
        </w:rPr>
        <w:t>,</w:t>
      </w:r>
      <w:r w:rsidR="00BD7AD4" w:rsidRPr="004B44C6">
        <w:rPr>
          <w:rFonts w:ascii="Calibri" w:hAnsi="Calibri" w:cs="Calibri"/>
          <w:lang w:bidi="el-GR"/>
        </w:rPr>
        <w:t xml:space="preserve"> η Τράπεζα της Ελλάδος προβαίνει σε μια κατ’ αρχήν αξιολόγηση των πληροφοριών που περιέχει, εντοπίζει τα σημαντικότερα σημεία που χρήζουν άμεσης προσοχής και προσδιορίζει τις επόμενες ενέργειές της.</w:t>
      </w:r>
    </w:p>
    <w:p w14:paraId="709B26E0" w14:textId="66C26BEA" w:rsidR="00BD7AD4" w:rsidRPr="00A85203" w:rsidRDefault="00BD7AD4" w:rsidP="007E510C">
      <w:pPr>
        <w:pStyle w:val="ListParagraph"/>
        <w:numPr>
          <w:ilvl w:val="0"/>
          <w:numId w:val="35"/>
        </w:numPr>
        <w:spacing w:before="120" w:after="120"/>
        <w:jc w:val="both"/>
        <w:rPr>
          <w:rFonts w:ascii="Calibri" w:hAnsi="Calibri" w:cs="Calibri"/>
          <w:b/>
          <w:bCs/>
        </w:rPr>
      </w:pPr>
      <w:r w:rsidRPr="00A85203">
        <w:rPr>
          <w:rFonts w:ascii="Calibri" w:hAnsi="Calibri" w:cs="Calibri"/>
          <w:b/>
          <w:bCs/>
        </w:rPr>
        <w:t>Ταξινόμηση της εκτίμησης επιπτώσεων</w:t>
      </w:r>
      <w:r w:rsidR="002A2D0B" w:rsidRPr="00A85203">
        <w:rPr>
          <w:rFonts w:ascii="Calibri" w:hAnsi="Calibri" w:cs="Calibri"/>
          <w:b/>
          <w:bCs/>
          <w:strike/>
        </w:rPr>
        <w:t xml:space="preserve"> </w:t>
      </w:r>
    </w:p>
    <w:p w14:paraId="0B2F6221" w14:textId="3C923C85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Η εκτίμηση αυτή αντικατοπτρίζει τον πιθανό αντίκτυπο</w:t>
      </w:r>
      <w:r w:rsidR="00034DC8" w:rsidRPr="004B44C6">
        <w:rPr>
          <w:rFonts w:ascii="Calibri" w:hAnsi="Calibri" w:cs="Calibri"/>
        </w:rPr>
        <w:t xml:space="preserve"> στ</w:t>
      </w:r>
      <w:r w:rsidR="00CA07D1" w:rsidRPr="004B44C6">
        <w:rPr>
          <w:rFonts w:ascii="Calibri" w:hAnsi="Calibri" w:cs="Calibri"/>
        </w:rPr>
        <w:t xml:space="preserve">α μέλη </w:t>
      </w:r>
      <w:r w:rsidR="00034DC8" w:rsidRPr="004B44C6">
        <w:rPr>
          <w:rFonts w:ascii="Calibri" w:hAnsi="Calibri" w:cs="Calibri"/>
        </w:rPr>
        <w:t xml:space="preserve">και </w:t>
      </w:r>
      <w:r w:rsidR="3E216B37" w:rsidRPr="004B44C6">
        <w:rPr>
          <w:rFonts w:ascii="Calibri" w:hAnsi="Calibri" w:cs="Calibri"/>
        </w:rPr>
        <w:t>σ</w:t>
      </w:r>
      <w:r w:rsidR="00034DC8" w:rsidRPr="004B44C6">
        <w:rPr>
          <w:rFonts w:ascii="Calibri" w:hAnsi="Calibri" w:cs="Calibri"/>
        </w:rPr>
        <w:t>τους δικαιούχους</w:t>
      </w:r>
      <w:r w:rsidR="000079F3" w:rsidRPr="004B44C6">
        <w:rPr>
          <w:rFonts w:ascii="Calibri" w:hAnsi="Calibri" w:cs="Calibri"/>
        </w:rPr>
        <w:t xml:space="preserve">, </w:t>
      </w:r>
      <w:r w:rsidRPr="004B44C6">
        <w:rPr>
          <w:rFonts w:ascii="Calibri" w:hAnsi="Calibri" w:cs="Calibri"/>
        </w:rPr>
        <w:t xml:space="preserve">μετρούμενο επί τη βάσει μιας </w:t>
      </w:r>
      <w:proofErr w:type="spellStart"/>
      <w:r w:rsidRPr="004B44C6">
        <w:rPr>
          <w:rFonts w:ascii="Calibri" w:hAnsi="Calibri" w:cs="Calibri"/>
        </w:rPr>
        <w:t>τεταρτοβάθμιας</w:t>
      </w:r>
      <w:proofErr w:type="spellEnd"/>
      <w:r w:rsidRPr="004B44C6">
        <w:rPr>
          <w:rFonts w:ascii="Calibri" w:hAnsi="Calibri" w:cs="Calibri"/>
        </w:rPr>
        <w:t xml:space="preserve"> κλίμακας, από το ένα (1) ως το τέσσερα (4</w:t>
      </w:r>
      <w:r w:rsidR="000079F3" w:rsidRPr="004B44C6">
        <w:rPr>
          <w:rFonts w:ascii="Calibri" w:hAnsi="Calibri" w:cs="Calibri"/>
        </w:rPr>
        <w:t>)</w:t>
      </w:r>
      <w:r w:rsidRPr="004B44C6">
        <w:rPr>
          <w:rFonts w:ascii="Calibri" w:hAnsi="Calibri" w:cs="Calibri"/>
        </w:rPr>
        <w:t xml:space="preserve">. </w:t>
      </w:r>
      <w:r w:rsidR="00EA2DAB">
        <w:rPr>
          <w:rFonts w:ascii="Calibri" w:hAnsi="Calibri" w:cs="Calibri"/>
        </w:rPr>
        <w:t xml:space="preserve">Τα </w:t>
      </w:r>
      <w:r w:rsidR="00167F98" w:rsidRPr="004B44C6">
        <w:rPr>
          <w:rFonts w:ascii="Calibri" w:hAnsi="Calibri" w:cs="Calibri"/>
        </w:rPr>
        <w:t>Τ.Ε.Α</w:t>
      </w:r>
      <w:r w:rsidR="00167F98" w:rsidRPr="00551D22">
        <w:rPr>
          <w:rFonts w:ascii="Calibri" w:hAnsi="Calibri" w:cs="Calibri"/>
        </w:rPr>
        <w:t>.</w:t>
      </w:r>
      <w:r w:rsidR="006B5E2C" w:rsidRPr="00551D22">
        <w:rPr>
          <w:rFonts w:ascii="Calibri" w:hAnsi="Calibri" w:cs="Calibri"/>
        </w:rPr>
        <w:t xml:space="preserve"> </w:t>
      </w:r>
      <w:r w:rsidRPr="00551D22">
        <w:rPr>
          <w:rFonts w:ascii="Calibri" w:hAnsi="Calibri" w:cs="Calibri"/>
        </w:rPr>
        <w:t xml:space="preserve">με μεγαλύτερο αντίκτυπο </w:t>
      </w:r>
      <w:r w:rsidRPr="004B44C6">
        <w:rPr>
          <w:rFonts w:ascii="Calibri" w:hAnsi="Calibri" w:cs="Calibri"/>
        </w:rPr>
        <w:t xml:space="preserve">λαμβάνουν μεγαλύτερη τιμή στην </w:t>
      </w:r>
      <w:proofErr w:type="spellStart"/>
      <w:r w:rsidRPr="004B44C6">
        <w:rPr>
          <w:rFonts w:ascii="Calibri" w:hAnsi="Calibri" w:cs="Calibri"/>
        </w:rPr>
        <w:t>τεταρτοβάθμια</w:t>
      </w:r>
      <w:proofErr w:type="spellEnd"/>
      <w:r w:rsidRPr="004B44C6">
        <w:rPr>
          <w:rFonts w:ascii="Calibri" w:hAnsi="Calibri" w:cs="Calibri"/>
        </w:rPr>
        <w:t xml:space="preserve"> κλίμακα.</w:t>
      </w:r>
    </w:p>
    <w:p w14:paraId="33D43E1E" w14:textId="31ED3D0E" w:rsidR="00BD7AD4" w:rsidRPr="00162F26" w:rsidRDefault="00BD7AD4" w:rsidP="007E510C">
      <w:pPr>
        <w:pStyle w:val="ListParagraph"/>
        <w:numPr>
          <w:ilvl w:val="0"/>
          <w:numId w:val="35"/>
        </w:numPr>
        <w:spacing w:before="120" w:after="120"/>
        <w:jc w:val="both"/>
        <w:rPr>
          <w:rFonts w:ascii="Calibri" w:hAnsi="Calibri" w:cs="Calibri"/>
          <w:b/>
          <w:bCs/>
          <w:strike/>
        </w:rPr>
      </w:pPr>
      <w:r w:rsidRPr="00162F26">
        <w:rPr>
          <w:rFonts w:ascii="Calibri" w:hAnsi="Calibri" w:cs="Calibri"/>
          <w:b/>
          <w:bCs/>
        </w:rPr>
        <w:t xml:space="preserve">Ταξινόμηση της επικινδυνότητας </w:t>
      </w:r>
    </w:p>
    <w:p w14:paraId="705FCC3A" w14:textId="7CC6562B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Αφορά σ</w:t>
      </w:r>
      <w:r w:rsidR="00E25363" w:rsidRPr="004B44C6">
        <w:rPr>
          <w:rFonts w:ascii="Calibri" w:hAnsi="Calibri" w:cs="Calibri"/>
        </w:rPr>
        <w:t xml:space="preserve">την </w:t>
      </w:r>
      <w:r w:rsidRPr="004B44C6">
        <w:rPr>
          <w:rFonts w:ascii="Calibri" w:hAnsi="Calibri" w:cs="Calibri"/>
        </w:rPr>
        <w:t xml:space="preserve">εκτίμηση της δυνατότητας </w:t>
      </w:r>
      <w:r w:rsidR="00F8228B" w:rsidRPr="004B44C6">
        <w:rPr>
          <w:rFonts w:ascii="Calibri" w:hAnsi="Calibri" w:cs="Calibri"/>
        </w:rPr>
        <w:t xml:space="preserve">του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, μετρούμενη επί τη βάσει μιας </w:t>
      </w:r>
      <w:proofErr w:type="spellStart"/>
      <w:r w:rsidRPr="004B44C6">
        <w:rPr>
          <w:rFonts w:ascii="Calibri" w:hAnsi="Calibri" w:cs="Calibri"/>
        </w:rPr>
        <w:t>τεταρτοβάθμιας</w:t>
      </w:r>
      <w:proofErr w:type="spellEnd"/>
      <w:r w:rsidRPr="004B44C6">
        <w:rPr>
          <w:rFonts w:ascii="Calibri" w:hAnsi="Calibri" w:cs="Calibri"/>
        </w:rPr>
        <w:t xml:space="preserve"> κλίμακας, από το ένα (1) ως το τέσσερα (4), να αντεπεξέρχεται σε πιθανά γεγονότα που θα μπορούσαν να έχουν αρνητικό αντίκτυπο στην φερεγγυότητα και την χρηματοοικονομική τ</w:t>
      </w:r>
      <w:r w:rsidR="00F8228B" w:rsidRPr="004B44C6">
        <w:rPr>
          <w:rFonts w:ascii="Calibri" w:hAnsi="Calibri" w:cs="Calibri"/>
        </w:rPr>
        <w:t>ου</w:t>
      </w:r>
      <w:r w:rsidRPr="004B44C6">
        <w:rPr>
          <w:rFonts w:ascii="Calibri" w:hAnsi="Calibri" w:cs="Calibri"/>
        </w:rPr>
        <w:t xml:space="preserve"> θέση. Η εν λόγω εκτίμηση βασίζεται στον εντοπισμό και αξιολόγηση των υφιστάμενων</w:t>
      </w:r>
      <w:r w:rsidR="00510F2A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καθώς και των μελλοντικών</w:t>
      </w:r>
      <w:r w:rsidR="00754821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κινδύνων στους οποίους είναι, ή θα μπορούσαν να είναι, εκτεθειμέν</w:t>
      </w:r>
      <w:r w:rsidR="00F8228B" w:rsidRPr="004B44C6">
        <w:rPr>
          <w:rFonts w:ascii="Calibri" w:hAnsi="Calibri" w:cs="Calibri"/>
        </w:rPr>
        <w:t>α</w:t>
      </w:r>
      <w:r w:rsidRPr="004B44C6">
        <w:rPr>
          <w:rFonts w:ascii="Calibri" w:hAnsi="Calibri" w:cs="Calibri"/>
        </w:rPr>
        <w:t xml:space="preserve"> </w:t>
      </w:r>
      <w:r w:rsidR="00F8228B" w:rsidRPr="004B44C6">
        <w:rPr>
          <w:rFonts w:ascii="Calibri" w:hAnsi="Calibri" w:cs="Calibri"/>
        </w:rPr>
        <w:t xml:space="preserve">τα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>, τη βιωσιμότητά τους</w:t>
      </w:r>
      <w:r w:rsidR="00EA2DAB">
        <w:rPr>
          <w:rFonts w:ascii="Calibri" w:hAnsi="Calibri" w:cs="Calibri"/>
        </w:rPr>
        <w:t>, αλλά</w:t>
      </w:r>
      <w:r w:rsidRPr="004B44C6">
        <w:rPr>
          <w:rFonts w:ascii="Calibri" w:hAnsi="Calibri" w:cs="Calibri"/>
        </w:rPr>
        <w:t xml:space="preserve"> και την ικανότητά τους να καλύπτουν τις υποχρεώσεις τους, όταν αυτές καθίστανται απαιτητές. </w:t>
      </w:r>
      <w:r w:rsidR="00E25363" w:rsidRPr="004B44C6">
        <w:rPr>
          <w:rFonts w:ascii="Calibri" w:hAnsi="Calibri" w:cs="Calibri"/>
        </w:rPr>
        <w:t>Για την</w:t>
      </w:r>
      <w:r w:rsidRPr="004B44C6">
        <w:rPr>
          <w:rFonts w:ascii="Calibri" w:hAnsi="Calibri" w:cs="Calibri"/>
        </w:rPr>
        <w:t xml:space="preserve"> εκτίμηση αυτή</w:t>
      </w:r>
      <w:r w:rsidR="00754821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</w:t>
      </w:r>
      <w:r w:rsidR="00E25363" w:rsidRPr="004B44C6">
        <w:rPr>
          <w:rFonts w:ascii="Calibri" w:hAnsi="Calibri" w:cs="Calibri"/>
        </w:rPr>
        <w:t xml:space="preserve">γίνεται </w:t>
      </w:r>
      <w:r w:rsidRPr="004B44C6">
        <w:rPr>
          <w:rFonts w:ascii="Calibri" w:hAnsi="Calibri" w:cs="Calibri"/>
        </w:rPr>
        <w:t xml:space="preserve">χρήση </w:t>
      </w:r>
      <w:r w:rsidR="00E25363" w:rsidRPr="004B44C6">
        <w:rPr>
          <w:rFonts w:ascii="Calibri" w:hAnsi="Calibri" w:cs="Calibri"/>
        </w:rPr>
        <w:t>των</w:t>
      </w:r>
      <w:r w:rsidRPr="004B44C6">
        <w:rPr>
          <w:rFonts w:ascii="Calibri" w:hAnsi="Calibri" w:cs="Calibri"/>
        </w:rPr>
        <w:t xml:space="preserve"> ποιοτικών και ποσοτικών εργαλείων ή</w:t>
      </w:r>
      <w:r w:rsidR="00E25363" w:rsidRPr="004B44C6">
        <w:rPr>
          <w:rFonts w:ascii="Calibri" w:hAnsi="Calibri" w:cs="Calibri"/>
        </w:rPr>
        <w:t xml:space="preserve"> των</w:t>
      </w:r>
      <w:r w:rsidRPr="004B44C6">
        <w:rPr>
          <w:rFonts w:ascii="Calibri" w:hAnsi="Calibri" w:cs="Calibri"/>
        </w:rPr>
        <w:t xml:space="preserve"> κριτηρίων που είναι διαθέσιμα. </w:t>
      </w:r>
      <w:r w:rsidR="00EA2DAB">
        <w:rPr>
          <w:rFonts w:ascii="Calibri" w:hAnsi="Calibri" w:cs="Calibri"/>
        </w:rPr>
        <w:t xml:space="preserve">Τα </w:t>
      </w:r>
      <w:r w:rsidR="00167F98" w:rsidRPr="004B44C6">
        <w:rPr>
          <w:rFonts w:ascii="Calibri" w:hAnsi="Calibri" w:cs="Calibri"/>
        </w:rPr>
        <w:t>Τ.Ε.Α.</w:t>
      </w:r>
      <w:r w:rsidR="006B5E2C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 xml:space="preserve">με μικρότερη δυνατότητα αντοχής λαμβάνουν μεγαλύτερη τιμή στην </w:t>
      </w:r>
      <w:proofErr w:type="spellStart"/>
      <w:r w:rsidRPr="004B44C6">
        <w:rPr>
          <w:rFonts w:ascii="Calibri" w:hAnsi="Calibri" w:cs="Calibri"/>
        </w:rPr>
        <w:t>τεταρτοβάθμια</w:t>
      </w:r>
      <w:proofErr w:type="spellEnd"/>
      <w:r w:rsidRPr="004B44C6">
        <w:rPr>
          <w:rFonts w:ascii="Calibri" w:hAnsi="Calibri" w:cs="Calibri"/>
        </w:rPr>
        <w:t xml:space="preserve"> κλίμακα. </w:t>
      </w:r>
    </w:p>
    <w:p w14:paraId="262ACA47" w14:textId="78C3F55C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Η εν λόγω εκτίμηση περιλαμβάνει κατ’ ελάχιστον τη συνδυαστική αξιολόγηση των ακολούθων:</w:t>
      </w:r>
    </w:p>
    <w:p w14:paraId="529ECD59" w14:textId="5128870B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proofErr w:type="spellStart"/>
      <w:r w:rsidRPr="004B44C6">
        <w:rPr>
          <w:rFonts w:ascii="Calibri" w:hAnsi="Calibri" w:cs="Calibri"/>
        </w:rPr>
        <w:t>αα</w:t>
      </w:r>
      <w:proofErr w:type="spellEnd"/>
      <w:r w:rsidRPr="004B44C6">
        <w:rPr>
          <w:rFonts w:ascii="Calibri" w:hAnsi="Calibri" w:cs="Calibri"/>
        </w:rPr>
        <w:t xml:space="preserve">) των στρατηγικών, διεργασιών και διαδικασιών αναφοράς εντός του συστήματος διαχείρισης κινδύνων που έχουν αναπτύξει </w:t>
      </w:r>
      <w:r w:rsidR="00EA2DAB">
        <w:rPr>
          <w:rFonts w:ascii="Calibri" w:hAnsi="Calibri" w:cs="Calibri"/>
        </w:rPr>
        <w:t>σε</w:t>
      </w:r>
      <w:r w:rsidRPr="004B44C6">
        <w:rPr>
          <w:rFonts w:ascii="Calibri" w:hAnsi="Calibri" w:cs="Calibri"/>
        </w:rPr>
        <w:t xml:space="preserve"> συμμόρφωση με τη</w:t>
      </w:r>
      <w:r w:rsidR="00E77140" w:rsidRPr="004B44C6">
        <w:rPr>
          <w:rFonts w:ascii="Calibri" w:hAnsi="Calibri" w:cs="Calibri"/>
        </w:rPr>
        <w:t xml:space="preserve">ν </w:t>
      </w:r>
      <w:r w:rsidR="00095B02" w:rsidRPr="004B44C6">
        <w:rPr>
          <w:rFonts w:ascii="Calibri" w:hAnsi="Calibri" w:cs="Calibri"/>
        </w:rPr>
        <w:t xml:space="preserve">Οδηγία </w:t>
      </w:r>
      <w:r w:rsidR="00E77140" w:rsidRPr="004B44C6">
        <w:rPr>
          <w:rFonts w:ascii="Calibri" w:hAnsi="Calibri" w:cs="Calibri"/>
          <w:lang w:val="en-US"/>
        </w:rPr>
        <w:t>IORP</w:t>
      </w:r>
      <w:r w:rsidRPr="004B44C6">
        <w:rPr>
          <w:rFonts w:ascii="Calibri" w:hAnsi="Calibri" w:cs="Calibri"/>
        </w:rPr>
        <w:t xml:space="preserve"> ΙΙ,</w:t>
      </w:r>
    </w:p>
    <w:p w14:paraId="3138BB15" w14:textId="757EC2F3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proofErr w:type="spellStart"/>
      <w:r w:rsidRPr="004B44C6">
        <w:rPr>
          <w:rFonts w:ascii="Calibri" w:hAnsi="Calibri" w:cs="Calibri"/>
        </w:rPr>
        <w:t>αβ</w:t>
      </w:r>
      <w:proofErr w:type="spellEnd"/>
      <w:r w:rsidRPr="004B44C6">
        <w:rPr>
          <w:rFonts w:ascii="Calibri" w:hAnsi="Calibri" w:cs="Calibri"/>
        </w:rPr>
        <w:t>) των υφιστάμενων και των μελλοντικών κινδύνων στους οποίους είναι</w:t>
      </w:r>
      <w:r w:rsidR="00754821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ή θα μπορούσαν να είναι</w:t>
      </w:r>
      <w:r w:rsidR="00754821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εκτεθειμέν</w:t>
      </w:r>
      <w:r w:rsidR="008942E4" w:rsidRPr="004B44C6">
        <w:rPr>
          <w:rFonts w:ascii="Calibri" w:hAnsi="Calibri" w:cs="Calibri"/>
        </w:rPr>
        <w:t xml:space="preserve">α τα </w:t>
      </w:r>
      <w:r w:rsidR="00167F98" w:rsidRPr="004B44C6">
        <w:rPr>
          <w:rFonts w:ascii="Calibri" w:hAnsi="Calibri" w:cs="Calibri"/>
        </w:rPr>
        <w:t>Τ.Ε.Α.</w:t>
      </w:r>
      <w:r w:rsidR="00510F2A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καθώς και της </w:t>
      </w:r>
      <w:r w:rsidR="00754821" w:rsidRPr="004B44C6">
        <w:rPr>
          <w:rFonts w:ascii="Calibri" w:hAnsi="Calibri" w:cs="Calibri"/>
        </w:rPr>
        <w:t xml:space="preserve">δυνατότητάς </w:t>
      </w:r>
      <w:r w:rsidRPr="004B44C6">
        <w:rPr>
          <w:rFonts w:ascii="Calibri" w:hAnsi="Calibri" w:cs="Calibri"/>
        </w:rPr>
        <w:t xml:space="preserve">τους να αξιολογούν </w:t>
      </w:r>
      <w:r w:rsidR="008942E4" w:rsidRPr="004B44C6">
        <w:rPr>
          <w:rFonts w:ascii="Calibri" w:hAnsi="Calibri" w:cs="Calibri"/>
        </w:rPr>
        <w:t>τα ίδια</w:t>
      </w:r>
      <w:r w:rsidRPr="004B44C6">
        <w:rPr>
          <w:rFonts w:ascii="Calibri" w:hAnsi="Calibri" w:cs="Calibri"/>
        </w:rPr>
        <w:t xml:space="preserve"> τους κινδύνους αυτούς,</w:t>
      </w:r>
    </w:p>
    <w:p w14:paraId="686DCFBF" w14:textId="77777777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proofErr w:type="spellStart"/>
      <w:r w:rsidRPr="004B44C6">
        <w:rPr>
          <w:rFonts w:ascii="Calibri" w:hAnsi="Calibri" w:cs="Calibri"/>
        </w:rPr>
        <w:t>αγ</w:t>
      </w:r>
      <w:proofErr w:type="spellEnd"/>
      <w:r w:rsidRPr="004B44C6">
        <w:rPr>
          <w:rFonts w:ascii="Calibri" w:hAnsi="Calibri" w:cs="Calibri"/>
        </w:rPr>
        <w:t>) των ποιοτικών απαιτήσεων που σχετίζονται με το σύστημα διακυβέρνησης τους.</w:t>
      </w:r>
    </w:p>
    <w:p w14:paraId="57C7B84A" w14:textId="77777777" w:rsidR="00155936" w:rsidRPr="004B44C6" w:rsidRDefault="00155936" w:rsidP="00D16AFF">
      <w:pPr>
        <w:spacing w:before="120" w:after="120"/>
        <w:jc w:val="both"/>
        <w:rPr>
          <w:rFonts w:ascii="Calibri" w:hAnsi="Calibri" w:cs="Calibri"/>
        </w:rPr>
      </w:pPr>
    </w:p>
    <w:p w14:paraId="23F5C9EC" w14:textId="77777777" w:rsidR="00BD7AD4" w:rsidRPr="004B44C6" w:rsidRDefault="007E510C" w:rsidP="00CA7583">
      <w:pPr>
        <w:tabs>
          <w:tab w:val="left" w:pos="709"/>
        </w:tabs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  <w:b/>
        </w:rPr>
        <w:t>2.1.3</w:t>
      </w:r>
      <w:r w:rsidR="00754821" w:rsidRPr="004B44C6">
        <w:rPr>
          <w:rFonts w:ascii="Calibri" w:hAnsi="Calibri" w:cs="Calibri"/>
        </w:rPr>
        <w:tab/>
      </w:r>
      <w:r w:rsidR="00BD7AD4" w:rsidRPr="004B44C6">
        <w:rPr>
          <w:rFonts w:ascii="Calibri" w:hAnsi="Calibri" w:cs="Calibri"/>
          <w:b/>
        </w:rPr>
        <w:t>Καθορισμός των αποτελεσμάτων από την αξιολόγηση των κινδύνων</w:t>
      </w:r>
    </w:p>
    <w:p w14:paraId="275030D0" w14:textId="1B09DC17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α) Για κάθε </w:t>
      </w:r>
      <w:r w:rsidR="00167F98" w:rsidRPr="004B44C6">
        <w:rPr>
          <w:rFonts w:ascii="Calibri" w:hAnsi="Calibri" w:cs="Calibri"/>
        </w:rPr>
        <w:t>Τ.Ε.Α.</w:t>
      </w:r>
      <w:r w:rsidR="000624BA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>διαμορφώνεται ένας εποπτικός φάκελος, ο οποίος περιλαμβάνει τουλάχιστον τα ακόλουθα:</w:t>
      </w:r>
    </w:p>
    <w:p w14:paraId="4A6D5961" w14:textId="644D22EA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proofErr w:type="spellStart"/>
      <w:r w:rsidRPr="004B44C6">
        <w:rPr>
          <w:rFonts w:ascii="Calibri" w:hAnsi="Calibri" w:cs="Calibri"/>
        </w:rPr>
        <w:t>αα</w:t>
      </w:r>
      <w:proofErr w:type="spellEnd"/>
      <w:r w:rsidRPr="004B44C6">
        <w:rPr>
          <w:rFonts w:ascii="Calibri" w:hAnsi="Calibri" w:cs="Calibri"/>
        </w:rPr>
        <w:t xml:space="preserve">) την ανάλυση και το υποστηρικτικό υλικό για την εκτίμηση επιπτώσεων </w:t>
      </w:r>
      <w:r w:rsidR="000624BA" w:rsidRPr="004B44C6">
        <w:rPr>
          <w:rFonts w:ascii="Calibri" w:hAnsi="Calibri" w:cs="Calibri"/>
        </w:rPr>
        <w:t xml:space="preserve">ενός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>,</w:t>
      </w:r>
    </w:p>
    <w:p w14:paraId="600AB275" w14:textId="7E414C90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proofErr w:type="spellStart"/>
      <w:r w:rsidRPr="004B44C6">
        <w:rPr>
          <w:rFonts w:ascii="Calibri" w:hAnsi="Calibri" w:cs="Calibri"/>
        </w:rPr>
        <w:t>αβ</w:t>
      </w:r>
      <w:proofErr w:type="spellEnd"/>
      <w:r w:rsidRPr="004B44C6">
        <w:rPr>
          <w:rFonts w:ascii="Calibri" w:hAnsi="Calibri" w:cs="Calibri"/>
        </w:rPr>
        <w:t>) την ανάλυση και το υποστηρικτικό υλικό για την εκτίμηση επικινδυνότητας</w:t>
      </w:r>
      <w:r w:rsidR="000624BA" w:rsidRPr="004B44C6">
        <w:rPr>
          <w:rFonts w:ascii="Calibri" w:hAnsi="Calibri" w:cs="Calibri"/>
        </w:rPr>
        <w:t xml:space="preserve"> ενός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>,</w:t>
      </w:r>
    </w:p>
    <w:p w14:paraId="156D12A4" w14:textId="73C80569" w:rsidR="00125233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proofErr w:type="spellStart"/>
      <w:r w:rsidRPr="004B44C6">
        <w:rPr>
          <w:rFonts w:ascii="Calibri" w:hAnsi="Calibri" w:cs="Calibri"/>
        </w:rPr>
        <w:t>αγ</w:t>
      </w:r>
      <w:proofErr w:type="spellEnd"/>
      <w:r w:rsidRPr="004B44C6">
        <w:rPr>
          <w:rFonts w:ascii="Calibri" w:hAnsi="Calibri" w:cs="Calibri"/>
        </w:rPr>
        <w:t xml:space="preserve">) την ταξινόμηση </w:t>
      </w:r>
      <w:r w:rsidR="007D149E" w:rsidRPr="004B44C6">
        <w:rPr>
          <w:rFonts w:ascii="Calibri" w:hAnsi="Calibri" w:cs="Calibri"/>
        </w:rPr>
        <w:t xml:space="preserve">του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, συνδυαστικά ως προς τις επιπτώσεις και την επικινδυνότητα, σε σχέση με </w:t>
      </w:r>
      <w:r w:rsidR="007D149E" w:rsidRPr="004B44C6">
        <w:rPr>
          <w:rFonts w:ascii="Calibri" w:hAnsi="Calibri" w:cs="Calibri"/>
        </w:rPr>
        <w:t xml:space="preserve">τα λοιπά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 </w:t>
      </w:r>
    </w:p>
    <w:p w14:paraId="1470D2C8" w14:textId="77777777" w:rsidR="00155936" w:rsidRPr="004B44C6" w:rsidRDefault="00155936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</w:p>
    <w:p w14:paraId="4752F4C8" w14:textId="1D5A73FF" w:rsidR="00BD7AD4" w:rsidRPr="004B44C6" w:rsidRDefault="00E22CA8" w:rsidP="00CA7583">
      <w:pPr>
        <w:pStyle w:val="ListParagraph"/>
        <w:tabs>
          <w:tab w:val="left" w:pos="709"/>
        </w:tabs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  <w:b/>
        </w:rPr>
        <w:t>2.1.</w:t>
      </w:r>
      <w:r w:rsidR="007E510C" w:rsidRPr="004B44C6">
        <w:rPr>
          <w:rFonts w:ascii="Calibri" w:hAnsi="Calibri" w:cs="Calibri"/>
          <w:b/>
        </w:rPr>
        <w:t>4</w:t>
      </w:r>
      <w:r w:rsidR="00BD7AD4" w:rsidRPr="004B44C6">
        <w:rPr>
          <w:rFonts w:ascii="Calibri" w:hAnsi="Calibri" w:cs="Calibri"/>
        </w:rPr>
        <w:t xml:space="preserve"> </w:t>
      </w:r>
      <w:r w:rsidR="00754821" w:rsidRPr="004B44C6">
        <w:rPr>
          <w:rFonts w:ascii="Calibri" w:hAnsi="Calibri" w:cs="Calibri"/>
        </w:rPr>
        <w:tab/>
      </w:r>
      <w:r w:rsidR="00BD7AD4" w:rsidRPr="004B44C6">
        <w:rPr>
          <w:rFonts w:ascii="Calibri" w:hAnsi="Calibri" w:cs="Calibri"/>
          <w:b/>
        </w:rPr>
        <w:t xml:space="preserve">Κατάρτιση σχεδίου εποπτικής δράσης και καθορισμός του βαθμού έντασης της ασκούμενης εποπτείας για κάθε </w:t>
      </w:r>
      <w:r w:rsidR="00167F98" w:rsidRPr="004B44C6">
        <w:rPr>
          <w:rFonts w:ascii="Calibri" w:hAnsi="Calibri" w:cs="Calibri"/>
          <w:b/>
        </w:rPr>
        <w:t>Τ.Ε.Α.</w:t>
      </w:r>
      <w:r w:rsidR="00BD7AD4" w:rsidRPr="004B44C6">
        <w:rPr>
          <w:rFonts w:ascii="Calibri" w:hAnsi="Calibri" w:cs="Calibri"/>
        </w:rPr>
        <w:t>:</w:t>
      </w:r>
    </w:p>
    <w:p w14:paraId="54858A5A" w14:textId="77777777" w:rsidR="00BD7AD4" w:rsidRPr="004B44C6" w:rsidRDefault="00BD7AD4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α) Λαμβάνονται υπόψη οι αναλύσεις και τα αποτελέσματα της </w:t>
      </w:r>
      <w:r w:rsidR="00732E68" w:rsidRPr="004B44C6">
        <w:rPr>
          <w:rFonts w:ascii="Calibri" w:hAnsi="Calibri" w:cs="Calibri"/>
        </w:rPr>
        <w:t xml:space="preserve">εν λόγω </w:t>
      </w:r>
      <w:r w:rsidRPr="004B44C6">
        <w:rPr>
          <w:rFonts w:ascii="Calibri" w:hAnsi="Calibri" w:cs="Calibri"/>
        </w:rPr>
        <w:t xml:space="preserve">αξιολόγησης, </w:t>
      </w:r>
    </w:p>
    <w:p w14:paraId="2219758A" w14:textId="3220B66F" w:rsidR="00BD7AD4" w:rsidRPr="004B44C6" w:rsidRDefault="00BD7AD4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β) Προσδιορίζεται η συχνότητα, η ένταση και το είδος των εποπτικών δράσεων αναφορικά με κάθε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>,</w:t>
      </w:r>
    </w:p>
    <w:p w14:paraId="4A07C9D0" w14:textId="153A0316" w:rsidR="00155936" w:rsidRDefault="00BD7AD4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Το σχέδιο εποπτικής δράσης είναι ανάλογο προς τη φύση, την κλίμακα και την πολυπλοκότητα </w:t>
      </w:r>
      <w:r w:rsidR="00CA07D1" w:rsidRPr="004B44C6">
        <w:rPr>
          <w:rFonts w:ascii="Calibri" w:hAnsi="Calibri" w:cs="Calibri"/>
        </w:rPr>
        <w:t xml:space="preserve">των κινδύνων που </w:t>
      </w:r>
      <w:r w:rsidRPr="004B44C6">
        <w:rPr>
          <w:rFonts w:ascii="Calibri" w:hAnsi="Calibri" w:cs="Calibri"/>
        </w:rPr>
        <w:t xml:space="preserve">κάθε </w:t>
      </w:r>
      <w:r w:rsidR="00167F98" w:rsidRPr="004B44C6">
        <w:rPr>
          <w:rFonts w:ascii="Calibri" w:hAnsi="Calibri" w:cs="Calibri"/>
        </w:rPr>
        <w:t>Τ.Ε.Α.</w:t>
      </w:r>
      <w:r w:rsidR="00CA07D1" w:rsidRPr="004B44C6">
        <w:rPr>
          <w:rFonts w:ascii="Calibri" w:hAnsi="Calibri" w:cs="Calibri"/>
        </w:rPr>
        <w:t xml:space="preserve"> αναλαμβάνει</w:t>
      </w:r>
      <w:r w:rsidR="00EA2DAB">
        <w:rPr>
          <w:rFonts w:ascii="Calibri" w:hAnsi="Calibri" w:cs="Calibri"/>
        </w:rPr>
        <w:t>,</w:t>
      </w:r>
      <w:r w:rsidR="00CA07D1" w:rsidRPr="004B44C6">
        <w:rPr>
          <w:rFonts w:ascii="Calibri" w:hAnsi="Calibri" w:cs="Calibri"/>
        </w:rPr>
        <w:t xml:space="preserve"> σύμφωνα με τις δραστηριότητές του.</w:t>
      </w:r>
    </w:p>
    <w:p w14:paraId="76EC0CE6" w14:textId="77777777" w:rsidR="00E10802" w:rsidRDefault="00E10802" w:rsidP="00CA7583">
      <w:pPr>
        <w:pStyle w:val="ListParagraph"/>
        <w:tabs>
          <w:tab w:val="left" w:pos="709"/>
        </w:tabs>
        <w:spacing w:before="120" w:after="120"/>
        <w:ind w:left="0"/>
        <w:jc w:val="both"/>
        <w:rPr>
          <w:rFonts w:ascii="Calibri" w:hAnsi="Calibri" w:cs="Calibri"/>
          <w:b/>
        </w:rPr>
      </w:pPr>
    </w:p>
    <w:p w14:paraId="27D6162B" w14:textId="7610A08C" w:rsidR="00BD7AD4" w:rsidRPr="004B44C6" w:rsidRDefault="00E22CA8" w:rsidP="00CA7583">
      <w:pPr>
        <w:pStyle w:val="ListParagraph"/>
        <w:tabs>
          <w:tab w:val="left" w:pos="709"/>
        </w:tabs>
        <w:spacing w:before="120" w:after="120"/>
        <w:ind w:left="0"/>
        <w:jc w:val="both"/>
        <w:rPr>
          <w:rFonts w:ascii="Calibri" w:hAnsi="Calibri" w:cs="Calibri"/>
        </w:rPr>
      </w:pPr>
      <w:r w:rsidRPr="00551D22">
        <w:rPr>
          <w:rFonts w:ascii="Calibri" w:hAnsi="Calibri" w:cs="Calibri"/>
          <w:b/>
        </w:rPr>
        <w:t>2.1.</w:t>
      </w:r>
      <w:r w:rsidR="007E510C" w:rsidRPr="00551D22">
        <w:rPr>
          <w:rFonts w:ascii="Calibri" w:hAnsi="Calibri" w:cs="Calibri"/>
          <w:b/>
        </w:rPr>
        <w:t>5</w:t>
      </w:r>
      <w:r w:rsidR="002D53F3" w:rsidRPr="004B44C6">
        <w:rPr>
          <w:rFonts w:ascii="Calibri" w:hAnsi="Calibri" w:cs="Calibri"/>
        </w:rPr>
        <w:tab/>
      </w:r>
      <w:r w:rsidR="00BD7AD4" w:rsidRPr="004B44C6">
        <w:rPr>
          <w:rFonts w:ascii="Calibri" w:hAnsi="Calibri" w:cs="Calibri"/>
        </w:rPr>
        <w:t xml:space="preserve">Η </w:t>
      </w:r>
      <w:proofErr w:type="spellStart"/>
      <w:r w:rsidR="00BD7AD4" w:rsidRPr="004B44C6">
        <w:rPr>
          <w:rFonts w:ascii="Calibri" w:hAnsi="Calibri" w:cs="Calibri"/>
        </w:rPr>
        <w:t>καταλληλότητα</w:t>
      </w:r>
      <w:proofErr w:type="spellEnd"/>
      <w:r w:rsidR="00BD7AD4" w:rsidRPr="004B44C6">
        <w:rPr>
          <w:rFonts w:ascii="Calibri" w:hAnsi="Calibri" w:cs="Calibri"/>
        </w:rPr>
        <w:t xml:space="preserve"> του </w:t>
      </w:r>
      <w:r w:rsidR="002A2D0B" w:rsidRPr="004B44C6">
        <w:rPr>
          <w:rFonts w:ascii="Calibri" w:hAnsi="Calibri" w:cs="Calibri"/>
        </w:rPr>
        <w:t xml:space="preserve">ανωτέρω </w:t>
      </w:r>
      <w:r w:rsidR="00BD7AD4" w:rsidRPr="004B44C6">
        <w:rPr>
          <w:rFonts w:ascii="Calibri" w:hAnsi="Calibri" w:cs="Calibri"/>
        </w:rPr>
        <w:t>σχεδίου εποπτικής δράσης αξιολογείται σε τακτά χρονικά διαστήματα</w:t>
      </w:r>
      <w:r w:rsidR="002D53F3" w:rsidRPr="004B44C6">
        <w:rPr>
          <w:rFonts w:ascii="Calibri" w:hAnsi="Calibri" w:cs="Calibri"/>
        </w:rPr>
        <w:t>,</w:t>
      </w:r>
      <w:r w:rsidR="00BD7AD4" w:rsidRPr="004B44C6">
        <w:rPr>
          <w:rFonts w:ascii="Calibri" w:hAnsi="Calibri" w:cs="Calibri"/>
        </w:rPr>
        <w:t xml:space="preserve"> και επανακαθορίζεται όπου </w:t>
      </w:r>
      <w:r w:rsidR="005373F7" w:rsidRPr="004B44C6">
        <w:rPr>
          <w:rFonts w:ascii="Calibri" w:hAnsi="Calibri" w:cs="Calibri"/>
        </w:rPr>
        <w:t xml:space="preserve">και όποτε </w:t>
      </w:r>
      <w:r w:rsidR="00BD7AD4" w:rsidRPr="004B44C6">
        <w:rPr>
          <w:rFonts w:ascii="Calibri" w:hAnsi="Calibri" w:cs="Calibri"/>
        </w:rPr>
        <w:t xml:space="preserve">χρειάζεται. </w:t>
      </w:r>
    </w:p>
    <w:p w14:paraId="27422457" w14:textId="77777777" w:rsidR="00A85203" w:rsidRPr="003D328A" w:rsidRDefault="00A85203" w:rsidP="00D16AFF">
      <w:pPr>
        <w:spacing w:before="120" w:after="120"/>
        <w:jc w:val="both"/>
        <w:rPr>
          <w:rFonts w:ascii="Calibri" w:hAnsi="Calibri" w:cs="Calibri"/>
        </w:rPr>
      </w:pPr>
    </w:p>
    <w:p w14:paraId="66D4BDA7" w14:textId="626D792E" w:rsidR="00BD7AD4" w:rsidRPr="00551D22" w:rsidRDefault="00CA07D1" w:rsidP="00551D22">
      <w:p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iCs/>
        </w:rPr>
      </w:pPr>
      <w:r w:rsidRPr="00551D22">
        <w:rPr>
          <w:rFonts w:ascii="Calibri" w:hAnsi="Calibri" w:cs="Calibri"/>
          <w:b/>
          <w:iCs/>
        </w:rPr>
        <w:t>2.2</w:t>
      </w:r>
      <w:r w:rsidR="007E510C" w:rsidRPr="00551D22">
        <w:rPr>
          <w:rFonts w:ascii="Calibri" w:hAnsi="Calibri" w:cs="Calibri"/>
          <w:b/>
          <w:iCs/>
        </w:rPr>
        <w:t xml:space="preserve"> </w:t>
      </w:r>
      <w:r w:rsidR="00551D22" w:rsidRPr="00551D22">
        <w:rPr>
          <w:rFonts w:ascii="Calibri" w:hAnsi="Calibri" w:cs="Calibri"/>
          <w:b/>
          <w:iCs/>
        </w:rPr>
        <w:t xml:space="preserve"> </w:t>
      </w:r>
      <w:r w:rsidR="003960D8" w:rsidRPr="00551D22">
        <w:rPr>
          <w:rFonts w:ascii="Calibri" w:hAnsi="Calibri" w:cs="Calibri"/>
          <w:b/>
          <w:iCs/>
        </w:rPr>
        <w:t>Λεπτομερής εξέταση και αξιολόγηση στρατηγικών, διεργασιών και διαδικασιών πληροφόρησης</w:t>
      </w:r>
    </w:p>
    <w:p w14:paraId="0A7C8F81" w14:textId="342F14D7" w:rsidR="00BD7AD4" w:rsidRPr="004B44C6" w:rsidRDefault="00BD7AD4" w:rsidP="00E22CA8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  <w:b/>
          <w:strike/>
        </w:rPr>
      </w:pPr>
      <w:r w:rsidRPr="004B44C6">
        <w:rPr>
          <w:rFonts w:ascii="Calibri" w:hAnsi="Calibri" w:cs="Calibri"/>
          <w:b/>
        </w:rPr>
        <w:t>Περιεχόμενο λεπτομερούς εξέτασης</w:t>
      </w:r>
      <w:r w:rsidR="002D53F3" w:rsidRPr="004B44C6">
        <w:rPr>
          <w:rFonts w:ascii="Calibri" w:hAnsi="Calibri" w:cs="Calibri"/>
          <w:b/>
        </w:rPr>
        <w:t xml:space="preserve"> </w:t>
      </w:r>
    </w:p>
    <w:p w14:paraId="679A078D" w14:textId="2C590806" w:rsidR="00BD7AD4" w:rsidRPr="004B44C6" w:rsidRDefault="00BD7AD4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Η Τράπεζα της Ελλάδος, λαμβάνοντας υπόψη όλες τις σχετικές πληροφορίες, προσδιορίζει το σχέδιο εποπτικής δράσης και αναλαμβάνει ενέργειες λεπτομερούς και αναλυτικής εξέτασης συγκεκριμένων περιοχών κινδύνου μιας ή περισσοτέρων κατηγοριών δραστηριοτήτων εντός </w:t>
      </w:r>
      <w:r w:rsidR="00C4727C" w:rsidRPr="004B44C6">
        <w:rPr>
          <w:rFonts w:ascii="Calibri" w:hAnsi="Calibri" w:cs="Calibri"/>
        </w:rPr>
        <w:t xml:space="preserve">ενός </w:t>
      </w:r>
      <w:r w:rsidR="00C4727C" w:rsidRPr="004B44C6">
        <w:rPr>
          <w:rFonts w:ascii="Calibri" w:hAnsi="Calibri" w:cs="Calibri"/>
          <w:lang w:val="en-US"/>
        </w:rPr>
        <w:t>T</w:t>
      </w:r>
      <w:r w:rsidR="00CA07D1" w:rsidRPr="004B44C6">
        <w:rPr>
          <w:rFonts w:ascii="Calibri" w:hAnsi="Calibri" w:cs="Calibri"/>
        </w:rPr>
        <w:t>.</w:t>
      </w:r>
      <w:r w:rsidR="00C4727C" w:rsidRPr="004B44C6">
        <w:rPr>
          <w:rFonts w:ascii="Calibri" w:hAnsi="Calibri" w:cs="Calibri"/>
          <w:lang w:val="en-US"/>
        </w:rPr>
        <w:t>E</w:t>
      </w:r>
      <w:r w:rsidR="00CA07D1" w:rsidRPr="004B44C6">
        <w:rPr>
          <w:rFonts w:ascii="Calibri" w:hAnsi="Calibri" w:cs="Calibri"/>
        </w:rPr>
        <w:t>.</w:t>
      </w:r>
      <w:r w:rsidR="00C4727C" w:rsidRPr="004B44C6">
        <w:rPr>
          <w:rFonts w:ascii="Calibri" w:hAnsi="Calibri" w:cs="Calibri"/>
          <w:lang w:val="en-US"/>
        </w:rPr>
        <w:t>A</w:t>
      </w:r>
      <w:r w:rsidRPr="004B44C6">
        <w:rPr>
          <w:rFonts w:ascii="Calibri" w:hAnsi="Calibri" w:cs="Calibri"/>
        </w:rPr>
        <w:t>. Οι περιοχές κινδύνου</w:t>
      </w:r>
      <w:r w:rsidR="00296DE7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στις οποίες εστιάζει η αντίστοιχη λεπτομερής εξέταση</w:t>
      </w:r>
      <w:r w:rsidR="00296DE7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προσδιορίζονται από τις αναλύσεις και τα αποτελέσματα της αξιολόγησης κινδύνων. </w:t>
      </w:r>
    </w:p>
    <w:p w14:paraId="1B209533" w14:textId="5B848CE5" w:rsidR="00BD7AD4" w:rsidRPr="004B44C6" w:rsidRDefault="005373F7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Η</w:t>
      </w:r>
      <w:r w:rsidR="00BD7AD4" w:rsidRPr="004B44C6">
        <w:rPr>
          <w:rFonts w:ascii="Calibri" w:hAnsi="Calibri" w:cs="Calibri"/>
        </w:rPr>
        <w:t xml:space="preserve"> λεπτομερ</w:t>
      </w:r>
      <w:r w:rsidRPr="004B44C6">
        <w:rPr>
          <w:rFonts w:ascii="Calibri" w:hAnsi="Calibri" w:cs="Calibri"/>
        </w:rPr>
        <w:t>ής</w:t>
      </w:r>
      <w:r w:rsidR="00BD7AD4" w:rsidRPr="004B44C6">
        <w:rPr>
          <w:rFonts w:ascii="Calibri" w:hAnsi="Calibri" w:cs="Calibri"/>
        </w:rPr>
        <w:t xml:space="preserve"> εξ</w:t>
      </w:r>
      <w:r w:rsidRPr="004B44C6">
        <w:rPr>
          <w:rFonts w:ascii="Calibri" w:hAnsi="Calibri" w:cs="Calibri"/>
        </w:rPr>
        <w:t>έ</w:t>
      </w:r>
      <w:r w:rsidR="00BD7AD4" w:rsidRPr="004B44C6">
        <w:rPr>
          <w:rFonts w:ascii="Calibri" w:hAnsi="Calibri" w:cs="Calibri"/>
        </w:rPr>
        <w:t>τ</w:t>
      </w:r>
      <w:r w:rsidRPr="004B44C6">
        <w:rPr>
          <w:rFonts w:ascii="Calibri" w:hAnsi="Calibri" w:cs="Calibri"/>
        </w:rPr>
        <w:t xml:space="preserve">αση </w:t>
      </w:r>
      <w:r w:rsidR="00BD7AD4" w:rsidRPr="004B44C6">
        <w:rPr>
          <w:rFonts w:ascii="Calibri" w:hAnsi="Calibri" w:cs="Calibri"/>
        </w:rPr>
        <w:t>πραγματοποι</w:t>
      </w:r>
      <w:r w:rsidRPr="004B44C6">
        <w:rPr>
          <w:rFonts w:ascii="Calibri" w:hAnsi="Calibri" w:cs="Calibri"/>
        </w:rPr>
        <w:t>είται</w:t>
      </w:r>
      <w:r w:rsidR="00EA2DAB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</w:t>
      </w:r>
      <w:r w:rsidR="00BD7AD4" w:rsidRPr="004B44C6">
        <w:rPr>
          <w:rFonts w:ascii="Calibri" w:hAnsi="Calibri" w:cs="Calibri"/>
        </w:rPr>
        <w:t xml:space="preserve">είτε εκτός των χώρων των </w:t>
      </w:r>
      <w:r w:rsidR="00167F98" w:rsidRPr="004B44C6">
        <w:rPr>
          <w:rFonts w:ascii="Calibri" w:hAnsi="Calibri" w:cs="Calibri"/>
        </w:rPr>
        <w:t>Τ.Ε.Α.</w:t>
      </w:r>
      <w:r w:rsidR="003A2BFF" w:rsidRPr="004B44C6">
        <w:rPr>
          <w:rFonts w:ascii="Calibri" w:hAnsi="Calibri" w:cs="Calibri"/>
        </w:rPr>
        <w:t xml:space="preserve"> (εξ αποστάσεως έλεγχος) από την ΔΕΕΙΑ</w:t>
      </w:r>
      <w:r w:rsidR="00BD7AD4" w:rsidRPr="004B44C6">
        <w:rPr>
          <w:rFonts w:ascii="Calibri" w:hAnsi="Calibri" w:cs="Calibri"/>
        </w:rPr>
        <w:t>, είτε με επιτόπιους ελέγχους</w:t>
      </w:r>
      <w:r w:rsidR="003A2BFF" w:rsidRPr="004B44C6">
        <w:rPr>
          <w:rFonts w:ascii="Calibri" w:hAnsi="Calibri" w:cs="Calibri"/>
        </w:rPr>
        <w:t xml:space="preserve"> από την ΔΕ</w:t>
      </w:r>
      <w:r w:rsidR="00A2108E" w:rsidRPr="004B44C6">
        <w:rPr>
          <w:rFonts w:ascii="Calibri" w:hAnsi="Calibri" w:cs="Calibri"/>
        </w:rPr>
        <w:t>Ε</w:t>
      </w:r>
      <w:r w:rsidR="003A2BFF" w:rsidRPr="004B44C6">
        <w:rPr>
          <w:rFonts w:ascii="Calibri" w:hAnsi="Calibri" w:cs="Calibri"/>
        </w:rPr>
        <w:t>Ε</w:t>
      </w:r>
      <w:r w:rsidR="00BD7AD4" w:rsidRPr="004B44C6">
        <w:rPr>
          <w:rFonts w:ascii="Calibri" w:hAnsi="Calibri" w:cs="Calibri"/>
        </w:rPr>
        <w:t>, είτε με κατάλληλο συνδυασμό των ανωτέρω δύο μεθόδων</w:t>
      </w:r>
      <w:r w:rsidR="00F0145B" w:rsidRPr="004B44C6">
        <w:rPr>
          <w:rFonts w:ascii="Calibri" w:hAnsi="Calibri" w:cs="Calibri"/>
        </w:rPr>
        <w:t>, εάν και εφόσον προκύψει από το σχέδιο εποπτικής δράσης</w:t>
      </w:r>
      <w:r w:rsidR="00BD7AD4" w:rsidRPr="004B44C6">
        <w:rPr>
          <w:rFonts w:ascii="Calibri" w:hAnsi="Calibri" w:cs="Calibri"/>
        </w:rPr>
        <w:t>.</w:t>
      </w:r>
    </w:p>
    <w:p w14:paraId="4C088B5C" w14:textId="77777777" w:rsidR="00BD7AD4" w:rsidRPr="004B44C6" w:rsidRDefault="00BD7AD4" w:rsidP="00D16AFF">
      <w:pPr>
        <w:jc w:val="both"/>
        <w:rPr>
          <w:rFonts w:ascii="Calibri" w:hAnsi="Calibri" w:cs="Calibri"/>
          <w:b/>
        </w:rPr>
      </w:pPr>
    </w:p>
    <w:p w14:paraId="7ED72D59" w14:textId="77777777" w:rsidR="00BD7AD4" w:rsidRPr="00A85203" w:rsidRDefault="00D16AFF" w:rsidP="00E22CA8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 xml:space="preserve">Συμπληρωματικές πληροφορίες και </w:t>
      </w:r>
      <w:r w:rsidRPr="00A85203">
        <w:rPr>
          <w:rFonts w:ascii="Calibri" w:hAnsi="Calibri" w:cs="Calibri"/>
          <w:b/>
        </w:rPr>
        <w:t xml:space="preserve">στοιχεία </w:t>
      </w:r>
    </w:p>
    <w:p w14:paraId="1FF3A2E0" w14:textId="2A05A148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Η Τράπεζα της Ελλάδος κατά τη διάρκεια της λεπτομερούς εξέτασης σε </w:t>
      </w:r>
      <w:r w:rsidR="00167F98" w:rsidRPr="004B44C6">
        <w:rPr>
          <w:rFonts w:ascii="Calibri" w:hAnsi="Calibri" w:cs="Calibri"/>
        </w:rPr>
        <w:t>Τ.Ε.Α.</w:t>
      </w:r>
      <w:r w:rsidR="00C4727C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>μπορεί να ζητ</w:t>
      </w:r>
      <w:r w:rsidR="002D53F3" w:rsidRPr="004B44C6">
        <w:rPr>
          <w:rFonts w:ascii="Calibri" w:hAnsi="Calibri" w:cs="Calibri"/>
        </w:rPr>
        <w:t>εί</w:t>
      </w:r>
      <w:r w:rsidRPr="004B44C6">
        <w:rPr>
          <w:rFonts w:ascii="Calibri" w:hAnsi="Calibri" w:cs="Calibri"/>
        </w:rPr>
        <w:t xml:space="preserve">, εντός </w:t>
      </w:r>
      <w:r w:rsidR="00EA2DAB">
        <w:rPr>
          <w:rFonts w:ascii="Calibri" w:hAnsi="Calibri" w:cs="Calibri"/>
        </w:rPr>
        <w:t>ορισμένου</w:t>
      </w:r>
      <w:r w:rsidR="00EA2DAB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 xml:space="preserve">χρονικού διαστήματος, την υποβολή συμπληρωματικών πληροφοριών και στοιχείων από </w:t>
      </w:r>
      <w:r w:rsidR="00C4727C" w:rsidRPr="004B44C6">
        <w:rPr>
          <w:rFonts w:ascii="Calibri" w:hAnsi="Calibri" w:cs="Calibri"/>
        </w:rPr>
        <w:t xml:space="preserve">το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, καθώς και να απαιτεί τη διεξαγωγή από </w:t>
      </w:r>
      <w:r w:rsidR="003666AD" w:rsidRPr="004B44C6">
        <w:rPr>
          <w:rFonts w:ascii="Calibri" w:hAnsi="Calibri" w:cs="Calibri"/>
        </w:rPr>
        <w:t>το εν λόγω T</w:t>
      </w:r>
      <w:r w:rsidR="00941E43" w:rsidRPr="004B44C6">
        <w:rPr>
          <w:rFonts w:ascii="Calibri" w:hAnsi="Calibri" w:cs="Calibri"/>
        </w:rPr>
        <w:t>.</w:t>
      </w:r>
      <w:r w:rsidR="003666AD" w:rsidRPr="004B44C6">
        <w:rPr>
          <w:rFonts w:ascii="Calibri" w:hAnsi="Calibri" w:cs="Calibri"/>
        </w:rPr>
        <w:t>E</w:t>
      </w:r>
      <w:r w:rsidR="00941E43" w:rsidRPr="004B44C6">
        <w:rPr>
          <w:rFonts w:ascii="Calibri" w:hAnsi="Calibri" w:cs="Calibri"/>
        </w:rPr>
        <w:t>.</w:t>
      </w:r>
      <w:r w:rsidR="003666AD" w:rsidRPr="004B44C6">
        <w:rPr>
          <w:rFonts w:ascii="Calibri" w:hAnsi="Calibri" w:cs="Calibri"/>
        </w:rPr>
        <w:t>A</w:t>
      </w:r>
      <w:r w:rsidR="00941E43" w:rsidRPr="004B44C6">
        <w:rPr>
          <w:rFonts w:ascii="Calibri" w:hAnsi="Calibri" w:cs="Calibri"/>
        </w:rPr>
        <w:t>.</w:t>
      </w:r>
      <w:r w:rsidR="003666AD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 xml:space="preserve">συγκεκριμένων αναλύσεων ή εργασιών. </w:t>
      </w:r>
    </w:p>
    <w:p w14:paraId="60BC2272" w14:textId="7E83341F" w:rsidR="00BD7AD4" w:rsidRPr="004B44C6" w:rsidRDefault="00D32AC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Στην περίπτωση αυτή</w:t>
      </w:r>
      <w:r w:rsidR="002D53F3" w:rsidRPr="004B44C6">
        <w:rPr>
          <w:rFonts w:ascii="Calibri" w:hAnsi="Calibri" w:cs="Calibri"/>
        </w:rPr>
        <w:t>,</w:t>
      </w:r>
      <w:r w:rsidR="00BD7AD4" w:rsidRPr="004B44C6">
        <w:rPr>
          <w:rFonts w:ascii="Calibri" w:hAnsi="Calibri" w:cs="Calibri"/>
        </w:rPr>
        <w:t xml:space="preserve"> παρέχει εύλογη προθεσμία για την προσκόμιση συμπληρωματικών πληροφοριών, ούτως ώστε </w:t>
      </w:r>
      <w:r w:rsidR="00C4727C" w:rsidRPr="004B44C6">
        <w:rPr>
          <w:rFonts w:ascii="Calibri" w:hAnsi="Calibri" w:cs="Calibri"/>
        </w:rPr>
        <w:t xml:space="preserve">το </w:t>
      </w:r>
      <w:r w:rsidR="00167F98" w:rsidRPr="004B44C6">
        <w:rPr>
          <w:rFonts w:ascii="Calibri" w:hAnsi="Calibri" w:cs="Calibri"/>
        </w:rPr>
        <w:t>Τ.Ε.Α.</w:t>
      </w:r>
      <w:r w:rsidR="00C4727C" w:rsidRPr="004B44C6">
        <w:rPr>
          <w:rFonts w:ascii="Calibri" w:hAnsi="Calibri" w:cs="Calibri"/>
        </w:rPr>
        <w:t xml:space="preserve"> </w:t>
      </w:r>
      <w:r w:rsidR="00BD7AD4" w:rsidRPr="004B44C6">
        <w:rPr>
          <w:rFonts w:ascii="Calibri" w:hAnsi="Calibri" w:cs="Calibri"/>
        </w:rPr>
        <w:t>να είναι σε θέση να ανταποκριθεί στο αίτημα.</w:t>
      </w:r>
    </w:p>
    <w:p w14:paraId="2C825CA9" w14:textId="77777777" w:rsidR="002D53F3" w:rsidRPr="00A85203" w:rsidRDefault="002D53F3" w:rsidP="00D16AFF">
      <w:pPr>
        <w:jc w:val="both"/>
        <w:rPr>
          <w:rFonts w:ascii="Calibri" w:hAnsi="Calibri" w:cs="Calibri"/>
        </w:rPr>
      </w:pPr>
    </w:p>
    <w:p w14:paraId="202992CB" w14:textId="375E1914" w:rsidR="00BD7AD4" w:rsidRPr="004B44C6" w:rsidRDefault="00BD7AD4" w:rsidP="00E22CA8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 xml:space="preserve">Συμπεράσματα από την λεπτομερή </w:t>
      </w:r>
      <w:r w:rsidR="00DE34AF" w:rsidRPr="004B44C6">
        <w:rPr>
          <w:rFonts w:ascii="Calibri" w:hAnsi="Calibri" w:cs="Calibri"/>
          <w:b/>
        </w:rPr>
        <w:t>εξέταση</w:t>
      </w:r>
      <w:r w:rsidR="00D16AFF" w:rsidRPr="004B44C6">
        <w:rPr>
          <w:rFonts w:ascii="Calibri" w:hAnsi="Calibri" w:cs="Calibri"/>
          <w:b/>
        </w:rPr>
        <w:t xml:space="preserve"> </w:t>
      </w:r>
    </w:p>
    <w:p w14:paraId="75F12F96" w14:textId="2EB022F3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Τα βασικά πορίσματα και συμπεράσματα που προκύπτουν από τη λεπτομερή </w:t>
      </w:r>
      <w:r w:rsidR="00DE34AF" w:rsidRPr="004B44C6">
        <w:rPr>
          <w:rFonts w:ascii="Calibri" w:hAnsi="Calibri" w:cs="Calibri"/>
        </w:rPr>
        <w:t>εξέταση</w:t>
      </w:r>
      <w:r w:rsidRPr="004B44C6">
        <w:rPr>
          <w:rFonts w:ascii="Calibri" w:hAnsi="Calibri" w:cs="Calibri"/>
        </w:rPr>
        <w:t xml:space="preserve"> για κάθε </w:t>
      </w:r>
      <w:r w:rsidR="00C4727C" w:rsidRPr="004B44C6">
        <w:rPr>
          <w:rFonts w:ascii="Calibri" w:hAnsi="Calibri" w:cs="Calibri"/>
          <w:lang w:val="en-US"/>
        </w:rPr>
        <w:t>T</w:t>
      </w:r>
      <w:r w:rsidR="00941E43" w:rsidRPr="004B44C6">
        <w:rPr>
          <w:rFonts w:ascii="Calibri" w:hAnsi="Calibri" w:cs="Calibri"/>
        </w:rPr>
        <w:t>.</w:t>
      </w:r>
      <w:r w:rsidR="00C4727C" w:rsidRPr="004B44C6">
        <w:rPr>
          <w:rFonts w:ascii="Calibri" w:hAnsi="Calibri" w:cs="Calibri"/>
          <w:lang w:val="en-US"/>
        </w:rPr>
        <w:t>E</w:t>
      </w:r>
      <w:r w:rsidR="00941E43" w:rsidRPr="004B44C6">
        <w:rPr>
          <w:rFonts w:ascii="Calibri" w:hAnsi="Calibri" w:cs="Calibri"/>
        </w:rPr>
        <w:t>.</w:t>
      </w:r>
      <w:r w:rsidR="00C4727C" w:rsidRPr="004B44C6">
        <w:rPr>
          <w:rFonts w:ascii="Calibri" w:hAnsi="Calibri" w:cs="Calibri"/>
          <w:lang w:val="en-US"/>
        </w:rPr>
        <w:t>A</w:t>
      </w:r>
      <w:r w:rsidR="00941E43" w:rsidRPr="004B44C6">
        <w:rPr>
          <w:rFonts w:ascii="Calibri" w:hAnsi="Calibri" w:cs="Calibri"/>
        </w:rPr>
        <w:t>.</w:t>
      </w:r>
      <w:r w:rsidR="00C4727C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>τεκμηριώνονται, καταγράφονται και διατηρούνται στο</w:t>
      </w:r>
      <w:r w:rsidR="002D53F3" w:rsidRPr="004B44C6">
        <w:rPr>
          <w:rFonts w:ascii="Calibri" w:hAnsi="Calibri" w:cs="Calibri"/>
        </w:rPr>
        <w:t>ν</w:t>
      </w:r>
      <w:r w:rsidRPr="004B44C6">
        <w:rPr>
          <w:rFonts w:ascii="Calibri" w:hAnsi="Calibri" w:cs="Calibri"/>
        </w:rPr>
        <w:t xml:space="preserve"> φάκελο </w:t>
      </w:r>
      <w:r w:rsidR="002C47B6" w:rsidRPr="004B44C6">
        <w:rPr>
          <w:rFonts w:ascii="Calibri" w:hAnsi="Calibri" w:cs="Calibri"/>
        </w:rPr>
        <w:t xml:space="preserve">του </w:t>
      </w:r>
      <w:r w:rsidR="00C4727C" w:rsidRPr="004B44C6">
        <w:rPr>
          <w:rFonts w:ascii="Calibri" w:hAnsi="Calibri" w:cs="Calibri"/>
          <w:lang w:val="en-US"/>
        </w:rPr>
        <w:t>T</w:t>
      </w:r>
      <w:r w:rsidR="00941E43" w:rsidRPr="004B44C6">
        <w:rPr>
          <w:rFonts w:ascii="Calibri" w:hAnsi="Calibri" w:cs="Calibri"/>
        </w:rPr>
        <w:t>.</w:t>
      </w:r>
      <w:r w:rsidR="00C4727C" w:rsidRPr="004B44C6">
        <w:rPr>
          <w:rFonts w:ascii="Calibri" w:hAnsi="Calibri" w:cs="Calibri"/>
          <w:lang w:val="en-US"/>
        </w:rPr>
        <w:t>E</w:t>
      </w:r>
      <w:r w:rsidR="00941E43" w:rsidRPr="004B44C6">
        <w:rPr>
          <w:rFonts w:ascii="Calibri" w:hAnsi="Calibri" w:cs="Calibri"/>
        </w:rPr>
        <w:t>.</w:t>
      </w:r>
      <w:r w:rsidR="00C4727C" w:rsidRPr="004B44C6">
        <w:rPr>
          <w:rFonts w:ascii="Calibri" w:hAnsi="Calibri" w:cs="Calibri"/>
          <w:lang w:val="en-US"/>
        </w:rPr>
        <w:t>A</w:t>
      </w:r>
      <w:r w:rsidRPr="004B44C6">
        <w:rPr>
          <w:rFonts w:ascii="Calibri" w:hAnsi="Calibri" w:cs="Calibri"/>
        </w:rPr>
        <w:t>.</w:t>
      </w:r>
    </w:p>
    <w:p w14:paraId="40BB9663" w14:textId="77777777" w:rsidR="00D16AFF" w:rsidRPr="004B44C6" w:rsidRDefault="00D16AFF" w:rsidP="00D16AFF">
      <w:pPr>
        <w:jc w:val="both"/>
        <w:rPr>
          <w:rFonts w:ascii="Calibri" w:hAnsi="Calibri" w:cs="Calibri"/>
          <w:b/>
        </w:rPr>
      </w:pPr>
    </w:p>
    <w:p w14:paraId="77852868" w14:textId="0A738EA3" w:rsidR="00D16AFF" w:rsidRPr="004B44C6" w:rsidRDefault="00BD7AD4" w:rsidP="00E22CA8">
      <w:pPr>
        <w:pStyle w:val="ListParagraph"/>
        <w:keepNext/>
        <w:numPr>
          <w:ilvl w:val="2"/>
          <w:numId w:val="34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>Αναλύσεις που πραγματοποιούνται εκτός τ</w:t>
      </w:r>
      <w:r w:rsidR="00FD16F4" w:rsidRPr="004B44C6">
        <w:rPr>
          <w:rFonts w:ascii="Calibri" w:hAnsi="Calibri" w:cs="Calibri"/>
          <w:b/>
        </w:rPr>
        <w:t>ου</w:t>
      </w:r>
      <w:r w:rsidRPr="004B44C6">
        <w:rPr>
          <w:rFonts w:ascii="Calibri" w:hAnsi="Calibri" w:cs="Calibri"/>
          <w:b/>
        </w:rPr>
        <w:t xml:space="preserve"> χώρ</w:t>
      </w:r>
      <w:r w:rsidR="00FD16F4" w:rsidRPr="004B44C6">
        <w:rPr>
          <w:rFonts w:ascii="Calibri" w:hAnsi="Calibri" w:cs="Calibri"/>
          <w:b/>
        </w:rPr>
        <w:t>ου</w:t>
      </w:r>
      <w:r w:rsidRPr="004B44C6">
        <w:rPr>
          <w:rFonts w:ascii="Calibri" w:hAnsi="Calibri" w:cs="Calibri"/>
          <w:b/>
        </w:rPr>
        <w:t xml:space="preserve"> </w:t>
      </w:r>
      <w:r w:rsidR="00AA76D6" w:rsidRPr="004B44C6">
        <w:rPr>
          <w:rFonts w:ascii="Calibri" w:hAnsi="Calibri" w:cs="Calibri"/>
          <w:b/>
        </w:rPr>
        <w:t>τ</w:t>
      </w:r>
      <w:r w:rsidR="00FD16F4" w:rsidRPr="004B44C6">
        <w:rPr>
          <w:rFonts w:ascii="Calibri" w:hAnsi="Calibri" w:cs="Calibri"/>
          <w:b/>
        </w:rPr>
        <w:t>ου</w:t>
      </w:r>
      <w:r w:rsidR="00AA76D6" w:rsidRPr="004B44C6">
        <w:rPr>
          <w:rFonts w:ascii="Calibri" w:hAnsi="Calibri" w:cs="Calibri"/>
          <w:b/>
        </w:rPr>
        <w:t xml:space="preserve"> </w:t>
      </w:r>
      <w:r w:rsidR="00167F98" w:rsidRPr="004B44C6">
        <w:rPr>
          <w:rFonts w:ascii="Calibri" w:hAnsi="Calibri" w:cs="Calibri"/>
          <w:b/>
        </w:rPr>
        <w:t>Τ.Ε.Α.</w:t>
      </w:r>
      <w:r w:rsidR="00AA76D6" w:rsidRPr="004B44C6">
        <w:rPr>
          <w:rFonts w:ascii="Calibri" w:hAnsi="Calibri" w:cs="Calibri"/>
          <w:b/>
        </w:rPr>
        <w:t xml:space="preserve"> </w:t>
      </w:r>
    </w:p>
    <w:p w14:paraId="4A6C12D2" w14:textId="127A80EB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Οι αναλύσεις που πραγματοποιούνται εκτός τ</w:t>
      </w:r>
      <w:r w:rsidR="00B849F1" w:rsidRPr="004B44C6">
        <w:rPr>
          <w:rFonts w:ascii="Calibri" w:hAnsi="Calibri" w:cs="Calibri"/>
        </w:rPr>
        <w:t xml:space="preserve">ου </w:t>
      </w:r>
      <w:r w:rsidRPr="004B44C6">
        <w:rPr>
          <w:rFonts w:ascii="Calibri" w:hAnsi="Calibri" w:cs="Calibri"/>
        </w:rPr>
        <w:t>χώρ</w:t>
      </w:r>
      <w:r w:rsidR="00B849F1" w:rsidRPr="004B44C6">
        <w:rPr>
          <w:rFonts w:ascii="Calibri" w:hAnsi="Calibri" w:cs="Calibri"/>
        </w:rPr>
        <w:t>ου</w:t>
      </w:r>
      <w:r w:rsidR="00AA76D6" w:rsidRPr="004B44C6">
        <w:rPr>
          <w:rFonts w:ascii="Calibri" w:hAnsi="Calibri" w:cs="Calibri"/>
        </w:rPr>
        <w:t xml:space="preserve"> τ</w:t>
      </w:r>
      <w:r w:rsidR="00FD16F4" w:rsidRPr="004B44C6">
        <w:rPr>
          <w:rFonts w:ascii="Calibri" w:hAnsi="Calibri" w:cs="Calibri"/>
        </w:rPr>
        <w:t>ου</w:t>
      </w:r>
      <w:r w:rsidR="00AA76D6" w:rsidRPr="004B44C6">
        <w:rPr>
          <w:rFonts w:ascii="Calibri" w:hAnsi="Calibri" w:cs="Calibri"/>
        </w:rPr>
        <w:t xml:space="preserve"> </w:t>
      </w:r>
      <w:r w:rsidR="00167F98" w:rsidRPr="004B44C6">
        <w:rPr>
          <w:rFonts w:ascii="Calibri" w:hAnsi="Calibri" w:cs="Calibri"/>
        </w:rPr>
        <w:t>Τ.Ε.Α.</w:t>
      </w:r>
      <w:r w:rsidR="00B849F1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 xml:space="preserve">είναι σύμφωνες με το σχέδιο εποπτικής δράσης, και μπορεί να είναι είτε γενικές για το σύνολο των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, είτε ειδικές για </w:t>
      </w:r>
      <w:r w:rsidR="00AA76D6" w:rsidRPr="004B44C6">
        <w:rPr>
          <w:rFonts w:ascii="Calibri" w:hAnsi="Calibri" w:cs="Calibri"/>
        </w:rPr>
        <w:t xml:space="preserve">ένα </w:t>
      </w:r>
      <w:r w:rsidR="00167F98" w:rsidRPr="004B44C6">
        <w:rPr>
          <w:rFonts w:ascii="Calibri" w:hAnsi="Calibri" w:cs="Calibri"/>
        </w:rPr>
        <w:t>Τ.Ε.Α.</w:t>
      </w:r>
      <w:r w:rsidR="00AA76D6" w:rsidRPr="004B44C6">
        <w:rPr>
          <w:rFonts w:ascii="Calibri" w:hAnsi="Calibri" w:cs="Calibri"/>
        </w:rPr>
        <w:t xml:space="preserve"> </w:t>
      </w:r>
      <w:r w:rsidRPr="004B44C6">
        <w:rPr>
          <w:rFonts w:ascii="Calibri" w:hAnsi="Calibri" w:cs="Calibri"/>
        </w:rPr>
        <w:t>ή μια κατηγορία δραστηριοτήτων ή περιοχή κινδύνου.</w:t>
      </w:r>
    </w:p>
    <w:p w14:paraId="2F1AD1A4" w14:textId="1C4D1FE7" w:rsidR="00BD7AD4" w:rsidRPr="004B44C6" w:rsidRDefault="00964A8D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Οι αναλύσεις</w:t>
      </w:r>
      <w:r w:rsidR="00BD7AD4" w:rsidRPr="004B44C6">
        <w:rPr>
          <w:rFonts w:ascii="Calibri" w:hAnsi="Calibri" w:cs="Calibri"/>
        </w:rPr>
        <w:t xml:space="preserve"> είναι περισσότερο λεπτομερείς σε σχέση με την αρχική αξιολόγηση των πληροφοριών και μπορούν να δώσουν το έναυσμα, ώστε να καθορ</w:t>
      </w:r>
      <w:r w:rsidR="00334F49" w:rsidRPr="004B44C6">
        <w:rPr>
          <w:rFonts w:ascii="Calibri" w:hAnsi="Calibri" w:cs="Calibri"/>
        </w:rPr>
        <w:t>ιστούν και αναληφθούν</w:t>
      </w:r>
      <w:r w:rsidR="00BD7AD4" w:rsidRPr="004B44C6">
        <w:rPr>
          <w:rFonts w:ascii="Calibri" w:hAnsi="Calibri" w:cs="Calibri"/>
        </w:rPr>
        <w:t xml:space="preserve"> περαιτέρω εποπτικές </w:t>
      </w:r>
      <w:r w:rsidR="00127B2B" w:rsidRPr="004B44C6">
        <w:rPr>
          <w:rFonts w:ascii="Calibri" w:hAnsi="Calibri" w:cs="Calibri"/>
        </w:rPr>
        <w:t>ενέργειες</w:t>
      </w:r>
      <w:r w:rsidR="00BD7AD4" w:rsidRPr="004B44C6">
        <w:rPr>
          <w:rFonts w:ascii="Calibri" w:hAnsi="Calibri" w:cs="Calibri"/>
        </w:rPr>
        <w:t xml:space="preserve">. </w:t>
      </w:r>
    </w:p>
    <w:p w14:paraId="32E941C4" w14:textId="77777777" w:rsidR="00964A8D" w:rsidRPr="004B44C6" w:rsidRDefault="00964A8D" w:rsidP="00964A8D">
      <w:pPr>
        <w:jc w:val="both"/>
        <w:rPr>
          <w:rFonts w:ascii="Calibri" w:hAnsi="Calibri" w:cs="Calibri"/>
          <w:b/>
        </w:rPr>
      </w:pPr>
    </w:p>
    <w:p w14:paraId="398CD718" w14:textId="77777777" w:rsidR="00BD7AD4" w:rsidRPr="004B44C6" w:rsidRDefault="00BD7AD4" w:rsidP="00E22CA8">
      <w:pPr>
        <w:pStyle w:val="ListParagraph"/>
        <w:numPr>
          <w:ilvl w:val="2"/>
          <w:numId w:val="34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>Επιτόπιοι έλεγχοι</w:t>
      </w:r>
      <w:r w:rsidR="00964A8D" w:rsidRPr="004B44C6">
        <w:rPr>
          <w:rFonts w:ascii="Calibri" w:hAnsi="Calibri" w:cs="Calibri"/>
          <w:b/>
        </w:rPr>
        <w:t xml:space="preserve"> </w:t>
      </w:r>
    </w:p>
    <w:p w14:paraId="6B2473DB" w14:textId="48AD8778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Η Τράπεζα της Ελλάδος διενεργεί επιτόπιους ελέγχους</w:t>
      </w:r>
      <w:r w:rsidR="00162F26" w:rsidRPr="00162F26">
        <w:rPr>
          <w:rFonts w:ascii="Calibri" w:hAnsi="Calibri" w:cs="Calibri"/>
        </w:rPr>
        <w:t xml:space="preserve">, </w:t>
      </w:r>
      <w:r w:rsidR="00DA051C" w:rsidRPr="004B44C6">
        <w:rPr>
          <w:rFonts w:ascii="Calibri" w:hAnsi="Calibri" w:cs="Calibri"/>
        </w:rPr>
        <w:t>προκειμένου να διασφαλιστεί η συμμόρφωση με το θεσμικό πλαίσιο</w:t>
      </w:r>
      <w:r w:rsidRPr="004B44C6">
        <w:rPr>
          <w:rFonts w:ascii="Calibri" w:hAnsi="Calibri" w:cs="Calibri"/>
        </w:rPr>
        <w:t>.</w:t>
      </w:r>
    </w:p>
    <w:p w14:paraId="4B97A62B" w14:textId="77777777" w:rsidR="00A85203" w:rsidRPr="003D328A" w:rsidRDefault="00A85203" w:rsidP="00D16AFF">
      <w:pPr>
        <w:spacing w:before="120" w:after="120"/>
        <w:jc w:val="both"/>
        <w:rPr>
          <w:rFonts w:ascii="Calibri" w:hAnsi="Calibri" w:cs="Calibri"/>
        </w:rPr>
      </w:pPr>
    </w:p>
    <w:p w14:paraId="5CE91BB9" w14:textId="5610F498" w:rsidR="00BD7AD4" w:rsidRPr="00447EAC" w:rsidRDefault="00BD7AD4" w:rsidP="003960D8">
      <w:pPr>
        <w:pStyle w:val="ListParagraph"/>
        <w:numPr>
          <w:ilvl w:val="2"/>
          <w:numId w:val="34"/>
        </w:numPr>
        <w:spacing w:before="120"/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 xml:space="preserve">Διαδικασία που ακολουθείται </w:t>
      </w:r>
      <w:r w:rsidR="008B79DF" w:rsidRPr="00162F26">
        <w:rPr>
          <w:rFonts w:ascii="Calibri" w:hAnsi="Calibri" w:cs="Calibri"/>
          <w:b/>
        </w:rPr>
        <w:t>κατά</w:t>
      </w:r>
      <w:r w:rsidR="00104BB0" w:rsidRPr="00162F26">
        <w:rPr>
          <w:rFonts w:ascii="Calibri" w:hAnsi="Calibri" w:cs="Calibri"/>
          <w:b/>
        </w:rPr>
        <w:t xml:space="preserve"> την λεπτομερή εξέταση</w:t>
      </w:r>
      <w:r w:rsidR="00104BB0" w:rsidRPr="00447EAC">
        <w:rPr>
          <w:rFonts w:ascii="Calibri" w:hAnsi="Calibri" w:cs="Calibri"/>
          <w:b/>
        </w:rPr>
        <w:t xml:space="preserve"> </w:t>
      </w:r>
    </w:p>
    <w:p w14:paraId="75D97D8B" w14:textId="20834C71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Οι έλεγχοι σ</w:t>
      </w:r>
      <w:r w:rsidR="00344821" w:rsidRPr="004B44C6">
        <w:rPr>
          <w:rFonts w:ascii="Calibri" w:hAnsi="Calibri" w:cs="Calibri"/>
        </w:rPr>
        <w:t>τα</w:t>
      </w:r>
      <w:r w:rsidR="00AA76D6" w:rsidRPr="004B44C6">
        <w:rPr>
          <w:rFonts w:ascii="Calibri" w:hAnsi="Calibri" w:cs="Calibri"/>
        </w:rPr>
        <w:t xml:space="preserve">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 περιλαμβάνουν τα ακόλουθα στάδια:</w:t>
      </w:r>
    </w:p>
    <w:p w14:paraId="33B22892" w14:textId="77777777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α) προετοιμασία, </w:t>
      </w:r>
    </w:p>
    <w:p w14:paraId="54CB323E" w14:textId="6431E3EE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β) </w:t>
      </w:r>
      <w:r w:rsidR="00104BB0" w:rsidRPr="004B44C6">
        <w:rPr>
          <w:rFonts w:ascii="Calibri" w:hAnsi="Calibri" w:cs="Calibri"/>
        </w:rPr>
        <w:t xml:space="preserve">εποπτικές </w:t>
      </w:r>
      <w:r w:rsidRPr="004B44C6">
        <w:rPr>
          <w:rFonts w:ascii="Calibri" w:hAnsi="Calibri" w:cs="Calibri"/>
        </w:rPr>
        <w:t>εργασίες</w:t>
      </w:r>
      <w:r w:rsidR="002D53F3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και </w:t>
      </w:r>
    </w:p>
    <w:p w14:paraId="12536020" w14:textId="6433F397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γ) πορίσματα ελέγχου</w:t>
      </w:r>
      <w:r w:rsidR="003960D8" w:rsidRPr="004B44C6">
        <w:rPr>
          <w:rFonts w:ascii="Calibri" w:hAnsi="Calibri" w:cs="Calibri"/>
        </w:rPr>
        <w:t>, όπου απαιτείται</w:t>
      </w:r>
      <w:r w:rsidRPr="004B44C6">
        <w:rPr>
          <w:rFonts w:ascii="Calibri" w:hAnsi="Calibri" w:cs="Calibri"/>
        </w:rPr>
        <w:t>.</w:t>
      </w:r>
    </w:p>
    <w:p w14:paraId="239B58CF" w14:textId="38E68567" w:rsidR="00BD7AD4" w:rsidRPr="004B44C6" w:rsidRDefault="00BD7AD4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Τα </w:t>
      </w:r>
      <w:r w:rsidR="00964A8D" w:rsidRPr="004B44C6">
        <w:rPr>
          <w:rFonts w:ascii="Calibri" w:hAnsi="Calibri" w:cs="Calibri"/>
        </w:rPr>
        <w:t xml:space="preserve">ανωτέρω </w:t>
      </w:r>
      <w:r w:rsidRPr="004B44C6">
        <w:rPr>
          <w:rFonts w:ascii="Calibri" w:hAnsi="Calibri" w:cs="Calibri"/>
        </w:rPr>
        <w:t xml:space="preserve">πορίσματα ελέγχου κοινοποιούνται στα αρμόδια μέλη της διοίκησης των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, </w:t>
      </w:r>
      <w:r w:rsidR="00284E2D" w:rsidRPr="00D63669">
        <w:rPr>
          <w:rFonts w:ascii="Calibri" w:hAnsi="Calibri" w:cs="Calibri"/>
        </w:rPr>
        <w:t xml:space="preserve">όταν αυτό κρίνεται απαραίτητο, </w:t>
      </w:r>
      <w:r w:rsidRPr="004B44C6">
        <w:rPr>
          <w:rFonts w:ascii="Calibri" w:hAnsi="Calibri" w:cs="Calibri"/>
        </w:rPr>
        <w:t xml:space="preserve">παρέχοντας </w:t>
      </w:r>
      <w:r w:rsidR="003A03A6" w:rsidRPr="004B44C6">
        <w:rPr>
          <w:rFonts w:ascii="Calibri" w:hAnsi="Calibri" w:cs="Calibri"/>
        </w:rPr>
        <w:t xml:space="preserve">τους </w:t>
      </w:r>
      <w:r w:rsidRPr="004B44C6">
        <w:rPr>
          <w:rFonts w:ascii="Calibri" w:hAnsi="Calibri" w:cs="Calibri"/>
        </w:rPr>
        <w:t>παράλληλα τη δυνατότητα να υποβάλουν τις απόψεις τους, εντός ε</w:t>
      </w:r>
      <w:r w:rsidR="003A03A6" w:rsidRPr="004B44C6">
        <w:rPr>
          <w:rFonts w:ascii="Calibri" w:hAnsi="Calibri" w:cs="Calibri"/>
        </w:rPr>
        <w:t>ύ</w:t>
      </w:r>
      <w:r w:rsidRPr="004B44C6">
        <w:rPr>
          <w:rFonts w:ascii="Calibri" w:hAnsi="Calibri" w:cs="Calibri"/>
        </w:rPr>
        <w:t>λ</w:t>
      </w:r>
      <w:r w:rsidR="003A03A6" w:rsidRPr="004B44C6">
        <w:rPr>
          <w:rFonts w:ascii="Calibri" w:hAnsi="Calibri" w:cs="Calibri"/>
        </w:rPr>
        <w:t>ο</w:t>
      </w:r>
      <w:r w:rsidRPr="004B44C6">
        <w:rPr>
          <w:rFonts w:ascii="Calibri" w:hAnsi="Calibri" w:cs="Calibri"/>
        </w:rPr>
        <w:t>γου χρονικού διαστήματος οριζ</w:t>
      </w:r>
      <w:r w:rsidR="00365BF1" w:rsidRPr="004B44C6">
        <w:rPr>
          <w:rFonts w:ascii="Calibri" w:hAnsi="Calibri" w:cs="Calibri"/>
        </w:rPr>
        <w:t>όμε</w:t>
      </w:r>
      <w:r w:rsidR="00296DE7" w:rsidRPr="004B44C6">
        <w:rPr>
          <w:rFonts w:ascii="Calibri" w:hAnsi="Calibri" w:cs="Calibri"/>
        </w:rPr>
        <w:t>νου</w:t>
      </w:r>
      <w:r w:rsidRPr="004B44C6">
        <w:rPr>
          <w:rFonts w:ascii="Calibri" w:hAnsi="Calibri" w:cs="Calibri"/>
        </w:rPr>
        <w:t xml:space="preserve"> από την Τράπεζα της Ελλάδος. Ως αρμόδια μέλη της διοίκησης</w:t>
      </w:r>
      <w:r w:rsidR="0080649E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νοούνται όλα τα μέλη του Διοικητικού Συμβουλίου</w:t>
      </w:r>
      <w:r w:rsidR="0080649E" w:rsidRPr="004B44C6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καθώς και όλα τα εμπλεκόμενα με τον εν λόγω επιτόπιο έλεγχο λοιπά μέλη της διοίκησης.</w:t>
      </w:r>
    </w:p>
    <w:p w14:paraId="19AAC4FC" w14:textId="0FEB12DC" w:rsidR="00BD7AD4" w:rsidRPr="004B44C6" w:rsidRDefault="00481F08" w:rsidP="00964A8D">
      <w:pPr>
        <w:spacing w:before="120" w:after="120"/>
        <w:jc w:val="both"/>
        <w:rPr>
          <w:rFonts w:ascii="Calibri" w:hAnsi="Calibri" w:cs="Calibri"/>
          <w:strike/>
        </w:rPr>
      </w:pPr>
      <w:r w:rsidRPr="004B44C6">
        <w:rPr>
          <w:rFonts w:ascii="Calibri" w:hAnsi="Calibri" w:cs="Calibri"/>
          <w:strike/>
        </w:rPr>
        <w:t xml:space="preserve"> </w:t>
      </w:r>
    </w:p>
    <w:p w14:paraId="4753AB79" w14:textId="0FC3E7EC" w:rsidR="00BD7AD4" w:rsidRPr="004B44C6" w:rsidRDefault="00382A60" w:rsidP="003960D8">
      <w:pPr>
        <w:pStyle w:val="Heading3"/>
        <w:numPr>
          <w:ilvl w:val="1"/>
          <w:numId w:val="34"/>
        </w:numPr>
        <w:spacing w:before="240" w:after="240"/>
        <w:rPr>
          <w:rFonts w:ascii="Calibri" w:hAnsi="Calibri" w:cs="Calibri"/>
          <w:b/>
          <w:i/>
          <w:u w:val="none"/>
        </w:rPr>
      </w:pPr>
      <w:r>
        <w:rPr>
          <w:rFonts w:ascii="Calibri" w:hAnsi="Calibri" w:cs="Calibri"/>
          <w:b/>
          <w:i/>
          <w:u w:val="none"/>
        </w:rPr>
        <w:t>Χρήση</w:t>
      </w:r>
      <w:r w:rsidR="00EA2DAB">
        <w:rPr>
          <w:rFonts w:ascii="Calibri" w:hAnsi="Calibri" w:cs="Calibri"/>
          <w:b/>
          <w:i/>
          <w:u w:val="none"/>
        </w:rPr>
        <w:t xml:space="preserve"> ε</w:t>
      </w:r>
      <w:r w:rsidR="00964A8D" w:rsidRPr="004B44C6">
        <w:rPr>
          <w:rFonts w:ascii="Calibri" w:hAnsi="Calibri" w:cs="Calibri"/>
          <w:b/>
          <w:i/>
          <w:u w:val="none"/>
        </w:rPr>
        <w:t>ποπτικ</w:t>
      </w:r>
      <w:r w:rsidR="00EA2DAB">
        <w:rPr>
          <w:rFonts w:ascii="Calibri" w:hAnsi="Calibri" w:cs="Calibri"/>
          <w:b/>
          <w:i/>
          <w:u w:val="none"/>
        </w:rPr>
        <w:t>ών</w:t>
      </w:r>
      <w:r w:rsidR="00964A8D" w:rsidRPr="004B44C6">
        <w:rPr>
          <w:rFonts w:ascii="Calibri" w:hAnsi="Calibri" w:cs="Calibri"/>
          <w:b/>
          <w:i/>
          <w:u w:val="none"/>
        </w:rPr>
        <w:t xml:space="preserve"> </w:t>
      </w:r>
      <w:r w:rsidR="00A01C28" w:rsidRPr="004B44C6">
        <w:rPr>
          <w:rFonts w:ascii="Calibri" w:hAnsi="Calibri" w:cs="Calibri"/>
          <w:b/>
          <w:i/>
          <w:u w:val="none"/>
        </w:rPr>
        <w:t>εργαλεί</w:t>
      </w:r>
      <w:r w:rsidR="00EA2DAB">
        <w:rPr>
          <w:rFonts w:ascii="Calibri" w:hAnsi="Calibri" w:cs="Calibri"/>
          <w:b/>
          <w:i/>
          <w:u w:val="none"/>
        </w:rPr>
        <w:t>ων</w:t>
      </w:r>
      <w:r w:rsidR="00A01C28" w:rsidRPr="004B44C6">
        <w:rPr>
          <w:rFonts w:ascii="Calibri" w:hAnsi="Calibri" w:cs="Calibri"/>
          <w:b/>
          <w:i/>
          <w:u w:val="none"/>
        </w:rPr>
        <w:t xml:space="preserve"> και </w:t>
      </w:r>
      <w:r>
        <w:rPr>
          <w:rFonts w:ascii="Calibri" w:hAnsi="Calibri" w:cs="Calibri"/>
          <w:b/>
          <w:i/>
          <w:u w:val="none"/>
        </w:rPr>
        <w:t xml:space="preserve">λήψη κατάλληλων </w:t>
      </w:r>
      <w:r w:rsidR="00964A8D" w:rsidRPr="004B44C6">
        <w:rPr>
          <w:rFonts w:ascii="Calibri" w:hAnsi="Calibri" w:cs="Calibri"/>
          <w:b/>
          <w:i/>
          <w:u w:val="none"/>
        </w:rPr>
        <w:t>μέτρ</w:t>
      </w:r>
      <w:r w:rsidR="00EA2DAB">
        <w:rPr>
          <w:rFonts w:ascii="Calibri" w:hAnsi="Calibri" w:cs="Calibri"/>
          <w:b/>
          <w:i/>
          <w:u w:val="none"/>
        </w:rPr>
        <w:t>ων</w:t>
      </w:r>
    </w:p>
    <w:p w14:paraId="6FE61613" w14:textId="77777777" w:rsidR="00BD7AD4" w:rsidRPr="004B44C6" w:rsidRDefault="00BD7AD4" w:rsidP="00285345">
      <w:pPr>
        <w:pStyle w:val="ListParagraph"/>
        <w:numPr>
          <w:ilvl w:val="2"/>
          <w:numId w:val="37"/>
        </w:numPr>
        <w:jc w:val="both"/>
        <w:rPr>
          <w:rFonts w:ascii="Calibri" w:hAnsi="Calibri" w:cs="Calibri"/>
          <w:b/>
          <w:strike/>
        </w:rPr>
      </w:pPr>
      <w:r w:rsidRPr="004B44C6">
        <w:rPr>
          <w:rFonts w:ascii="Calibri" w:hAnsi="Calibri" w:cs="Calibri"/>
          <w:b/>
        </w:rPr>
        <w:t>Προσδιορισμός ζητημάτων που οδηγούν στη λήψη εποπτικών μέτρων</w:t>
      </w:r>
      <w:r w:rsidR="00964A8D" w:rsidRPr="004B44C6">
        <w:rPr>
          <w:rFonts w:ascii="Calibri" w:hAnsi="Calibri" w:cs="Calibri"/>
          <w:b/>
        </w:rPr>
        <w:t xml:space="preserve"> </w:t>
      </w:r>
    </w:p>
    <w:p w14:paraId="68E9BDED" w14:textId="777E0B88" w:rsidR="00BD7AD4" w:rsidRPr="00A85203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Βάσει των συμπερασμάτων της λεπτομερούς εξέτασης αναφορικά με </w:t>
      </w:r>
      <w:r w:rsidR="00015829" w:rsidRPr="004B44C6">
        <w:rPr>
          <w:rFonts w:ascii="Calibri" w:hAnsi="Calibri" w:cs="Calibri"/>
        </w:rPr>
        <w:t xml:space="preserve">ένα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, η Τράπεζα της Ελλάδος προσδιορίζει τυχόν αδυναμίες και τυχόν υφιστάμενες ή πιθανές ελλείψεις ή περιπτώσεις μη συμμόρφωσης προς τις απαιτήσεις που τίθενται από </w:t>
      </w:r>
      <w:r w:rsidR="005A4B23" w:rsidRPr="004B44C6">
        <w:rPr>
          <w:rFonts w:ascii="Calibri" w:eastAsia="Arial Unicode MS" w:hAnsi="Calibri" w:cs="Calibri"/>
        </w:rPr>
        <w:t xml:space="preserve">τον </w:t>
      </w:r>
      <w:r w:rsidR="005A4B23" w:rsidRPr="004B44C6">
        <w:rPr>
          <w:rFonts w:ascii="Calibri" w:hAnsi="Calibri" w:cs="Calibri"/>
        </w:rPr>
        <w:t>ν. 5078/2023</w:t>
      </w:r>
      <w:r w:rsidR="00941E43" w:rsidRPr="004B44C6">
        <w:rPr>
          <w:rFonts w:ascii="Calibri" w:hAnsi="Calibri" w:cs="Calibri"/>
        </w:rPr>
        <w:t xml:space="preserve"> (ΦΕΚ Α</w:t>
      </w:r>
      <w:r w:rsidR="00447EAC">
        <w:rPr>
          <w:rFonts w:ascii="Calibri" w:hAnsi="Calibri" w:cs="Calibri"/>
        </w:rPr>
        <w:t>΄</w:t>
      </w:r>
      <w:r w:rsidR="00941E43" w:rsidRPr="004B44C6">
        <w:rPr>
          <w:rFonts w:ascii="Calibri" w:hAnsi="Calibri" w:cs="Calibri"/>
        </w:rPr>
        <w:t xml:space="preserve"> 211)</w:t>
      </w:r>
      <w:r w:rsidRPr="004B44C6">
        <w:rPr>
          <w:rFonts w:ascii="Calibri" w:hAnsi="Calibri" w:cs="Calibri"/>
        </w:rPr>
        <w:t>, την κείμενη ευρωπαϊκή νομοθεσία αμέσου εφαρμογής και κάθε άλλη απόφαση</w:t>
      </w:r>
      <w:r w:rsidR="00EA2DAB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η οποία έχει εκδοθεί κατ’ εξουσιοδότηση των ανωτέρω, </w:t>
      </w:r>
      <w:r w:rsidR="00EA2DAB">
        <w:rPr>
          <w:rFonts w:ascii="Calibri" w:hAnsi="Calibri" w:cs="Calibri"/>
        </w:rPr>
        <w:t>που</w:t>
      </w:r>
      <w:r w:rsidRPr="004B44C6">
        <w:rPr>
          <w:rFonts w:ascii="Calibri" w:hAnsi="Calibri" w:cs="Calibri"/>
        </w:rPr>
        <w:t xml:space="preserve"> θα μπορούσαν να οδηγήσουν στην επιβολή εποπτικών μέτρων.</w:t>
      </w:r>
    </w:p>
    <w:p w14:paraId="6A282402" w14:textId="77777777" w:rsidR="00BD7AD4" w:rsidRPr="00B064A0" w:rsidRDefault="00BD7AD4" w:rsidP="00D16AFF">
      <w:pPr>
        <w:jc w:val="both"/>
        <w:rPr>
          <w:rFonts w:ascii="Calibri" w:hAnsi="Calibri" w:cs="Calibri"/>
        </w:rPr>
      </w:pPr>
    </w:p>
    <w:p w14:paraId="20FA44AF" w14:textId="77777777" w:rsidR="00BD7AD4" w:rsidRPr="004B44C6" w:rsidRDefault="00BD7AD4" w:rsidP="00285345">
      <w:pPr>
        <w:pStyle w:val="ListParagraph"/>
        <w:numPr>
          <w:ilvl w:val="2"/>
          <w:numId w:val="37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>Αξιολόγηση της σοβαρότητας των αδυναμιών, των ελλείψεων ή των περιπτώσεων μη συμμόρφωσης</w:t>
      </w:r>
      <w:r w:rsidR="00D15183" w:rsidRPr="004B44C6">
        <w:rPr>
          <w:rFonts w:ascii="Calibri" w:hAnsi="Calibri" w:cs="Calibri"/>
          <w:b/>
        </w:rPr>
        <w:t xml:space="preserve"> </w:t>
      </w:r>
    </w:p>
    <w:p w14:paraId="3C29ACE4" w14:textId="77777777" w:rsidR="00BD7AD4" w:rsidRPr="004B44C6" w:rsidRDefault="00D32AC4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Π</w:t>
      </w:r>
      <w:r w:rsidR="00BD7AD4" w:rsidRPr="004B44C6">
        <w:rPr>
          <w:rFonts w:ascii="Calibri" w:hAnsi="Calibri" w:cs="Calibri"/>
        </w:rPr>
        <w:t>ροκειμένου να λ</w:t>
      </w:r>
      <w:r w:rsidRPr="004B44C6">
        <w:rPr>
          <w:rFonts w:ascii="Calibri" w:hAnsi="Calibri" w:cs="Calibri"/>
        </w:rPr>
        <w:t>ηφθεί</w:t>
      </w:r>
      <w:r w:rsidR="00BD7AD4" w:rsidRPr="004B44C6">
        <w:rPr>
          <w:rFonts w:ascii="Calibri" w:hAnsi="Calibri" w:cs="Calibri"/>
        </w:rPr>
        <w:t xml:space="preserve"> απόφαση σχετικά με την επιβολή κάποιου μέτρου, αξιολογεί</w:t>
      </w:r>
      <w:r w:rsidRPr="004B44C6">
        <w:rPr>
          <w:rFonts w:ascii="Calibri" w:hAnsi="Calibri" w:cs="Calibri"/>
        </w:rPr>
        <w:t>ται</w:t>
      </w:r>
      <w:r w:rsidR="00BD7AD4" w:rsidRPr="004B44C6">
        <w:rPr>
          <w:rFonts w:ascii="Calibri" w:hAnsi="Calibri" w:cs="Calibri"/>
        </w:rPr>
        <w:t xml:space="preserve"> η σοβαρότητα των αδυναμιών, των υφιστάμενων ή πιθανών ελλείψεων και </w:t>
      </w:r>
      <w:r w:rsidRPr="004B44C6">
        <w:rPr>
          <w:rFonts w:ascii="Calibri" w:hAnsi="Calibri" w:cs="Calibri"/>
        </w:rPr>
        <w:t xml:space="preserve">οι </w:t>
      </w:r>
      <w:r w:rsidR="00BD7AD4" w:rsidRPr="004B44C6">
        <w:rPr>
          <w:rFonts w:ascii="Calibri" w:hAnsi="Calibri" w:cs="Calibri"/>
        </w:rPr>
        <w:t>περιπτώσε</w:t>
      </w:r>
      <w:r w:rsidRPr="004B44C6">
        <w:rPr>
          <w:rFonts w:ascii="Calibri" w:hAnsi="Calibri" w:cs="Calibri"/>
        </w:rPr>
        <w:t>ις</w:t>
      </w:r>
      <w:r w:rsidR="00BD7AD4" w:rsidRPr="004B44C6">
        <w:rPr>
          <w:rFonts w:ascii="Calibri" w:hAnsi="Calibri" w:cs="Calibri"/>
        </w:rPr>
        <w:t xml:space="preserve"> μη συμμόρφωσης που έχουν εντοπιστεί στο πλαίσιο της λεπτομερούς αξιολόγησης.</w:t>
      </w:r>
    </w:p>
    <w:p w14:paraId="25DA6CF7" w14:textId="77777777" w:rsidR="00D15183" w:rsidRPr="004B44C6" w:rsidRDefault="00D15183" w:rsidP="00D16AFF">
      <w:pPr>
        <w:jc w:val="both"/>
        <w:rPr>
          <w:rFonts w:ascii="Calibri" w:hAnsi="Calibri" w:cs="Calibri"/>
          <w:b/>
        </w:rPr>
      </w:pPr>
    </w:p>
    <w:p w14:paraId="4792F3CE" w14:textId="77777777" w:rsidR="00BD7AD4" w:rsidRPr="004B44C6" w:rsidRDefault="00BD7AD4" w:rsidP="00285345">
      <w:pPr>
        <w:pStyle w:val="ListParagraph"/>
        <w:numPr>
          <w:ilvl w:val="2"/>
          <w:numId w:val="37"/>
        </w:numPr>
        <w:jc w:val="both"/>
        <w:rPr>
          <w:rFonts w:ascii="Calibri" w:hAnsi="Calibri" w:cs="Calibri"/>
          <w:b/>
          <w:strike/>
        </w:rPr>
      </w:pPr>
      <w:r w:rsidRPr="004B44C6">
        <w:rPr>
          <w:rFonts w:ascii="Calibri" w:hAnsi="Calibri" w:cs="Calibri"/>
          <w:b/>
        </w:rPr>
        <w:t>Διαφοροποίηση των μέτρων ανάλογα με την περίπτωση</w:t>
      </w:r>
      <w:r w:rsidR="00D15183" w:rsidRPr="004B44C6">
        <w:rPr>
          <w:rFonts w:ascii="Calibri" w:hAnsi="Calibri" w:cs="Calibri"/>
          <w:b/>
        </w:rPr>
        <w:t xml:space="preserve"> </w:t>
      </w:r>
    </w:p>
    <w:p w14:paraId="6BA008E4" w14:textId="398D4C14" w:rsidR="00BD7AD4" w:rsidRPr="004B44C6" w:rsidRDefault="00BD7AD4" w:rsidP="00D16AFF">
      <w:pPr>
        <w:spacing w:before="120" w:after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>Τα μέτρα που λαμβάνονται από την Τράπεζα της Ελλάδος είναι αυτά που καθορίζονται από το</w:t>
      </w:r>
      <w:r w:rsidR="0080649E" w:rsidRPr="004B44C6">
        <w:rPr>
          <w:rFonts w:ascii="Calibri" w:hAnsi="Calibri" w:cs="Calibri"/>
        </w:rPr>
        <w:t>ν</w:t>
      </w:r>
      <w:r w:rsidRPr="004B44C6">
        <w:rPr>
          <w:rFonts w:ascii="Calibri" w:hAnsi="Calibri" w:cs="Calibri"/>
        </w:rPr>
        <w:t xml:space="preserve"> </w:t>
      </w:r>
      <w:r w:rsidR="00046215" w:rsidRPr="004B44C6">
        <w:rPr>
          <w:rFonts w:ascii="Calibri" w:hAnsi="Calibri" w:cs="Calibri"/>
        </w:rPr>
        <w:t>ν. 5078/2023</w:t>
      </w:r>
      <w:r w:rsidR="00D15183" w:rsidRPr="004B44C6">
        <w:rPr>
          <w:rFonts w:ascii="Calibri" w:hAnsi="Calibri" w:cs="Calibri"/>
        </w:rPr>
        <w:t xml:space="preserve"> </w:t>
      </w:r>
      <w:r w:rsidR="00941E43" w:rsidRPr="004B44C6">
        <w:rPr>
          <w:rFonts w:ascii="Calibri" w:hAnsi="Calibri" w:cs="Calibri"/>
        </w:rPr>
        <w:t xml:space="preserve">(ΦΕΚ Α 211) </w:t>
      </w:r>
      <w:r w:rsidRPr="004B44C6">
        <w:rPr>
          <w:rFonts w:ascii="Calibri" w:hAnsi="Calibri" w:cs="Calibri"/>
        </w:rPr>
        <w:t>και το Καταστατικό της, και διαφοροποιούνται ανάλογα με το</w:t>
      </w:r>
      <w:r w:rsidR="0080649E" w:rsidRPr="004B44C6">
        <w:rPr>
          <w:rFonts w:ascii="Calibri" w:hAnsi="Calibri" w:cs="Calibri"/>
        </w:rPr>
        <w:t>ν</w:t>
      </w:r>
      <w:r w:rsidRPr="004B44C6">
        <w:rPr>
          <w:rFonts w:ascii="Calibri" w:hAnsi="Calibri" w:cs="Calibri"/>
        </w:rPr>
        <w:t xml:space="preserve"> βαθμό σοβαρότητας των αδυναμιών και των υφιστάμενων ή πιθανών ελλείψεων ή περιπτώσεων μη συμμόρφωσης που αντιμετωπίζουν </w:t>
      </w:r>
      <w:r w:rsidR="003619E4" w:rsidRPr="004B44C6">
        <w:rPr>
          <w:rFonts w:ascii="Calibri" w:hAnsi="Calibri" w:cs="Calibri"/>
        </w:rPr>
        <w:t xml:space="preserve">τα </w:t>
      </w:r>
      <w:r w:rsidR="00167F98" w:rsidRPr="004B44C6">
        <w:rPr>
          <w:rFonts w:ascii="Calibri" w:hAnsi="Calibri" w:cs="Calibri"/>
        </w:rPr>
        <w:t>Τ.Ε.Α.</w:t>
      </w:r>
    </w:p>
    <w:p w14:paraId="151EE556" w14:textId="77777777" w:rsidR="00D15183" w:rsidRPr="00B064A0" w:rsidRDefault="00D15183" w:rsidP="00D15183">
      <w:pPr>
        <w:jc w:val="both"/>
        <w:rPr>
          <w:rFonts w:ascii="Calibri" w:hAnsi="Calibri" w:cs="Calibri"/>
          <w:lang w:bidi="el-GR"/>
        </w:rPr>
      </w:pPr>
    </w:p>
    <w:p w14:paraId="5D50CADD" w14:textId="77777777" w:rsidR="00D15183" w:rsidRPr="004B44C6" w:rsidRDefault="00BD7AD4" w:rsidP="00285345">
      <w:pPr>
        <w:pStyle w:val="ListParagraph"/>
        <w:numPr>
          <w:ilvl w:val="2"/>
          <w:numId w:val="37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 xml:space="preserve">Απόφαση σχετικά με τη λήψη μέτρων </w:t>
      </w:r>
    </w:p>
    <w:p w14:paraId="7F836A15" w14:textId="77777777" w:rsidR="00BD7AD4" w:rsidRPr="004B44C6" w:rsidRDefault="00BD7AD4" w:rsidP="008B79DF">
      <w:pPr>
        <w:pStyle w:val="CommentText"/>
        <w:spacing w:before="120" w:after="120"/>
        <w:jc w:val="both"/>
        <w:rPr>
          <w:rFonts w:ascii="Calibri" w:hAnsi="Calibri" w:cs="Calibri"/>
          <w:strike/>
          <w:sz w:val="24"/>
          <w:szCs w:val="24"/>
          <w:lang w:bidi="ar-SA"/>
        </w:rPr>
      </w:pPr>
      <w:r w:rsidRPr="004B44C6">
        <w:rPr>
          <w:rFonts w:ascii="Calibri" w:hAnsi="Calibri" w:cs="Calibri"/>
          <w:sz w:val="24"/>
          <w:szCs w:val="24"/>
          <w:lang w:bidi="ar-SA"/>
        </w:rPr>
        <w:t>Η Τράπεζα της Ελλάδος μεριμνά</w:t>
      </w:r>
      <w:r w:rsidR="00F84889" w:rsidRPr="004B44C6">
        <w:rPr>
          <w:rFonts w:ascii="Calibri" w:hAnsi="Calibri" w:cs="Calibri"/>
          <w:sz w:val="24"/>
          <w:szCs w:val="24"/>
          <w:lang w:bidi="ar-SA"/>
        </w:rPr>
        <w:t>,</w:t>
      </w:r>
      <w:r w:rsidRPr="004B44C6">
        <w:rPr>
          <w:rFonts w:ascii="Calibri" w:hAnsi="Calibri" w:cs="Calibri"/>
          <w:sz w:val="24"/>
          <w:szCs w:val="24"/>
          <w:lang w:bidi="ar-SA"/>
        </w:rPr>
        <w:t xml:space="preserve"> ώστε τα λαμβανόμενα μέτρα να στοχεύουν στην κάλυψη συγκεκριμένων αδυναμιών ή ελλείψεων ή μη συμμόρφωσης</w:t>
      </w:r>
      <w:r w:rsidR="001A1567" w:rsidRPr="004B44C6">
        <w:rPr>
          <w:rFonts w:ascii="Calibri" w:hAnsi="Calibri" w:cs="Calibri"/>
          <w:sz w:val="24"/>
          <w:szCs w:val="24"/>
          <w:lang w:bidi="ar-SA"/>
        </w:rPr>
        <w:t>.</w:t>
      </w:r>
      <w:r w:rsidRPr="004B44C6">
        <w:rPr>
          <w:rFonts w:ascii="Calibri" w:hAnsi="Calibri" w:cs="Calibri"/>
          <w:sz w:val="24"/>
          <w:szCs w:val="24"/>
          <w:lang w:bidi="ar-SA"/>
        </w:rPr>
        <w:t xml:space="preserve"> </w:t>
      </w:r>
    </w:p>
    <w:p w14:paraId="6F8993BF" w14:textId="77777777" w:rsidR="0080649E" w:rsidRPr="004B44C6" w:rsidRDefault="0080649E" w:rsidP="00D16AFF">
      <w:pPr>
        <w:pStyle w:val="ListParagraph"/>
        <w:spacing w:before="120" w:after="120"/>
        <w:ind w:left="0"/>
        <w:jc w:val="both"/>
        <w:rPr>
          <w:rFonts w:ascii="Calibri" w:hAnsi="Calibri" w:cs="Calibri"/>
        </w:rPr>
      </w:pPr>
    </w:p>
    <w:p w14:paraId="0BF60ACA" w14:textId="77777777" w:rsidR="00BD7AD4" w:rsidRPr="004B44C6" w:rsidRDefault="00BD7AD4" w:rsidP="00285345">
      <w:pPr>
        <w:pStyle w:val="ListParagraph"/>
        <w:numPr>
          <w:ilvl w:val="2"/>
          <w:numId w:val="37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>Κοινοποίηση μέτρων</w:t>
      </w:r>
    </w:p>
    <w:p w14:paraId="7908995B" w14:textId="7F321D2F" w:rsidR="00BD7AD4" w:rsidRPr="004B44C6" w:rsidRDefault="00BD7AD4" w:rsidP="00CA7583">
      <w:pPr>
        <w:spacing w:before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  <w:lang w:bidi="el-GR"/>
        </w:rPr>
        <w:t>Τα μέτρα που λαμβάν</w:t>
      </w:r>
      <w:r w:rsidR="00D861E6" w:rsidRPr="004B44C6">
        <w:rPr>
          <w:rFonts w:ascii="Calibri" w:hAnsi="Calibri" w:cs="Calibri"/>
          <w:lang w:bidi="el-GR"/>
        </w:rPr>
        <w:t xml:space="preserve">ονται από την </w:t>
      </w:r>
      <w:r w:rsidRPr="004B44C6">
        <w:rPr>
          <w:rFonts w:ascii="Calibri" w:hAnsi="Calibri" w:cs="Calibri"/>
          <w:lang w:bidi="el-GR"/>
        </w:rPr>
        <w:t>Τράπεζα της Ελλάδος</w:t>
      </w:r>
      <w:r w:rsidR="00CD2AAD" w:rsidRPr="004B44C6">
        <w:rPr>
          <w:rFonts w:ascii="Calibri" w:hAnsi="Calibri" w:cs="Calibri"/>
          <w:lang w:bidi="el-GR"/>
        </w:rPr>
        <w:t xml:space="preserve"> κ</w:t>
      </w:r>
      <w:r w:rsidRPr="004B44C6">
        <w:rPr>
          <w:rFonts w:ascii="Calibri" w:hAnsi="Calibri" w:cs="Calibri"/>
          <w:lang w:bidi="el-GR"/>
        </w:rPr>
        <w:t>οινοποι</w:t>
      </w:r>
      <w:r w:rsidR="00D861E6" w:rsidRPr="004B44C6">
        <w:rPr>
          <w:rFonts w:ascii="Calibri" w:hAnsi="Calibri" w:cs="Calibri"/>
          <w:lang w:bidi="el-GR"/>
        </w:rPr>
        <w:t>ούνται</w:t>
      </w:r>
      <w:r w:rsidR="001A1567" w:rsidRPr="004B44C6">
        <w:rPr>
          <w:rFonts w:ascii="Calibri" w:hAnsi="Calibri" w:cs="Calibri"/>
          <w:lang w:bidi="el-GR"/>
        </w:rPr>
        <w:t xml:space="preserve"> εγγράφως και εγκαίρως στο εποπτευόμενο </w:t>
      </w:r>
      <w:r w:rsidR="00167F98" w:rsidRPr="004B44C6">
        <w:rPr>
          <w:rFonts w:ascii="Calibri" w:hAnsi="Calibri" w:cs="Calibri"/>
          <w:lang w:bidi="el-GR"/>
        </w:rPr>
        <w:t>Τ.Ε.Α.</w:t>
      </w:r>
      <w:r w:rsidRPr="004B44C6">
        <w:rPr>
          <w:rFonts w:ascii="Calibri" w:hAnsi="Calibri" w:cs="Calibri"/>
          <w:lang w:bidi="el-GR"/>
        </w:rPr>
        <w:t xml:space="preserve"> Η εν λόγω κοινοποίηση περιλαμβάνει, κατά περίπτωση, χρονοδιάγραμμα</w:t>
      </w:r>
      <w:r w:rsidR="00EA2DAB">
        <w:rPr>
          <w:rFonts w:ascii="Calibri" w:hAnsi="Calibri" w:cs="Calibri"/>
          <w:lang w:bidi="el-GR"/>
        </w:rPr>
        <w:t>,</w:t>
      </w:r>
      <w:r w:rsidRPr="004B44C6">
        <w:rPr>
          <w:rFonts w:ascii="Calibri" w:hAnsi="Calibri" w:cs="Calibri"/>
        </w:rPr>
        <w:t xml:space="preserve"> εντός του οποίου </w:t>
      </w:r>
      <w:r w:rsidR="001A1567" w:rsidRPr="004B44C6">
        <w:rPr>
          <w:rFonts w:ascii="Calibri" w:hAnsi="Calibri" w:cs="Calibri"/>
        </w:rPr>
        <w:t xml:space="preserve">το εν λόγω </w:t>
      </w:r>
      <w:r w:rsidR="00167F98" w:rsidRPr="004B44C6">
        <w:rPr>
          <w:rFonts w:ascii="Calibri" w:hAnsi="Calibri" w:cs="Calibri"/>
        </w:rPr>
        <w:t>Τ.Ε.Α.</w:t>
      </w:r>
      <w:r w:rsidRPr="004B44C6">
        <w:rPr>
          <w:rFonts w:ascii="Calibri" w:hAnsi="Calibri" w:cs="Calibri"/>
        </w:rPr>
        <w:t xml:space="preserve"> πρέπει να προβεί στις απαραίτητες ενέργειες</w:t>
      </w:r>
      <w:r w:rsidR="00EA2DAB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προκειμένου να συμμορφωθεί με τα μέτρα.</w:t>
      </w:r>
    </w:p>
    <w:p w14:paraId="59F03E2E" w14:textId="77777777" w:rsidR="008B79DF" w:rsidRPr="004B44C6" w:rsidRDefault="008B79DF" w:rsidP="00CA7583">
      <w:pPr>
        <w:spacing w:before="120"/>
        <w:jc w:val="both"/>
        <w:rPr>
          <w:rFonts w:ascii="Calibri" w:hAnsi="Calibri" w:cs="Calibri"/>
        </w:rPr>
      </w:pPr>
    </w:p>
    <w:p w14:paraId="708E49F1" w14:textId="77777777" w:rsidR="00BD7AD4" w:rsidRPr="004B44C6" w:rsidRDefault="00BD7AD4" w:rsidP="00285345">
      <w:pPr>
        <w:pStyle w:val="ListParagraph"/>
        <w:numPr>
          <w:ilvl w:val="2"/>
          <w:numId w:val="37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>Παρακολούθηση της εφαρμογής των μέτρων</w:t>
      </w:r>
      <w:r w:rsidR="0009755D" w:rsidRPr="004B44C6">
        <w:rPr>
          <w:rFonts w:ascii="Calibri" w:hAnsi="Calibri" w:cs="Calibri"/>
          <w:b/>
        </w:rPr>
        <w:t xml:space="preserve"> </w:t>
      </w:r>
    </w:p>
    <w:p w14:paraId="1DB79D96" w14:textId="24F8F95F" w:rsidR="00BD7AD4" w:rsidRPr="004B44C6" w:rsidRDefault="00BD7AD4" w:rsidP="00CA7583">
      <w:pPr>
        <w:spacing w:before="120"/>
        <w:jc w:val="both"/>
        <w:rPr>
          <w:rFonts w:ascii="Calibri" w:hAnsi="Calibri" w:cs="Calibri"/>
        </w:rPr>
      </w:pPr>
      <w:r w:rsidRPr="004B44C6">
        <w:rPr>
          <w:rFonts w:ascii="Calibri" w:hAnsi="Calibri" w:cs="Calibri"/>
        </w:rPr>
        <w:t xml:space="preserve">Η Τράπεζα της Ελλάδος παρακολουθεί την εφαρμογή των μέτρων που έχουν ληφθεί </w:t>
      </w:r>
      <w:r w:rsidR="00EA2DAB">
        <w:rPr>
          <w:rFonts w:ascii="Calibri" w:hAnsi="Calibri" w:cs="Calibri"/>
        </w:rPr>
        <w:t>σε βάρος</w:t>
      </w:r>
      <w:r w:rsidR="00EA2DAB" w:rsidRPr="004B44C6">
        <w:rPr>
          <w:rFonts w:ascii="Calibri" w:hAnsi="Calibri" w:cs="Calibri"/>
        </w:rPr>
        <w:t xml:space="preserve"> των εποπτευομένων Τ.Ε.Α. </w:t>
      </w:r>
      <w:r w:rsidRPr="004B44C6">
        <w:rPr>
          <w:rFonts w:ascii="Calibri" w:hAnsi="Calibri" w:cs="Calibri"/>
        </w:rPr>
        <w:t>και παρεμβαίνει</w:t>
      </w:r>
      <w:r w:rsidR="00EA2DAB">
        <w:rPr>
          <w:rFonts w:ascii="Calibri" w:hAnsi="Calibri" w:cs="Calibri"/>
        </w:rPr>
        <w:t>,</w:t>
      </w:r>
      <w:r w:rsidRPr="004B44C6">
        <w:rPr>
          <w:rFonts w:ascii="Calibri" w:hAnsi="Calibri" w:cs="Calibri"/>
        </w:rPr>
        <w:t xml:space="preserve"> όπου κρίνει αναγκαίο. </w:t>
      </w:r>
    </w:p>
    <w:p w14:paraId="383608B2" w14:textId="77777777" w:rsidR="00BD7AD4" w:rsidRPr="004B44C6" w:rsidRDefault="00BD7AD4" w:rsidP="00D16AFF">
      <w:pPr>
        <w:jc w:val="both"/>
        <w:rPr>
          <w:rFonts w:ascii="Calibri" w:hAnsi="Calibri" w:cs="Calibri"/>
          <w:b/>
        </w:rPr>
      </w:pPr>
    </w:p>
    <w:p w14:paraId="0BF8672A" w14:textId="77777777" w:rsidR="00BD7AD4" w:rsidRPr="004B44C6" w:rsidRDefault="00BD7AD4" w:rsidP="00285345">
      <w:pPr>
        <w:pStyle w:val="ListParagraph"/>
        <w:numPr>
          <w:ilvl w:val="2"/>
          <w:numId w:val="37"/>
        </w:numPr>
        <w:jc w:val="both"/>
        <w:rPr>
          <w:rFonts w:ascii="Calibri" w:hAnsi="Calibri" w:cs="Calibri"/>
          <w:b/>
        </w:rPr>
      </w:pPr>
      <w:r w:rsidRPr="004B44C6">
        <w:rPr>
          <w:rFonts w:ascii="Calibri" w:hAnsi="Calibri" w:cs="Calibri"/>
          <w:b/>
        </w:rPr>
        <w:t>Αξιολόγηση των εποπτικών μέτρων</w:t>
      </w:r>
      <w:r w:rsidR="0009755D" w:rsidRPr="004B44C6">
        <w:rPr>
          <w:rFonts w:ascii="Calibri" w:hAnsi="Calibri" w:cs="Calibri"/>
          <w:b/>
        </w:rPr>
        <w:t xml:space="preserve"> </w:t>
      </w:r>
    </w:p>
    <w:p w14:paraId="539A6935" w14:textId="1AA1466F" w:rsidR="00BD7AD4" w:rsidRPr="00A85203" w:rsidRDefault="00BD7AD4" w:rsidP="00CA7583">
      <w:pPr>
        <w:spacing w:before="120"/>
        <w:jc w:val="both"/>
        <w:rPr>
          <w:rFonts w:ascii="Calibri" w:hAnsi="Calibri" w:cs="Calibri"/>
        </w:rPr>
      </w:pPr>
      <w:r w:rsidRPr="00A85203">
        <w:rPr>
          <w:rFonts w:ascii="Calibri" w:hAnsi="Calibri" w:cs="Calibri"/>
        </w:rPr>
        <w:t>Η Τράπεζα της Ελλάδος αξιολογεί</w:t>
      </w:r>
      <w:r w:rsidR="0080649E" w:rsidRPr="00A85203">
        <w:rPr>
          <w:rFonts w:ascii="Calibri" w:hAnsi="Calibri" w:cs="Calibri"/>
        </w:rPr>
        <w:t>,</w:t>
      </w:r>
      <w:r w:rsidRPr="00A85203">
        <w:rPr>
          <w:rFonts w:ascii="Calibri" w:hAnsi="Calibri" w:cs="Calibri"/>
        </w:rPr>
        <w:t xml:space="preserve"> ανά περίπτωση</w:t>
      </w:r>
      <w:r w:rsidR="0080649E" w:rsidRPr="00A85203">
        <w:rPr>
          <w:rFonts w:ascii="Calibri" w:hAnsi="Calibri" w:cs="Calibri"/>
        </w:rPr>
        <w:t>,</w:t>
      </w:r>
      <w:r w:rsidRPr="00A85203">
        <w:rPr>
          <w:rFonts w:ascii="Calibri" w:hAnsi="Calibri" w:cs="Calibri"/>
        </w:rPr>
        <w:t xml:space="preserve"> την αποτελεσματικότητα των </w:t>
      </w:r>
      <w:proofErr w:type="spellStart"/>
      <w:r w:rsidR="00447EAC" w:rsidRPr="00A85203">
        <w:rPr>
          <w:rFonts w:ascii="Calibri" w:hAnsi="Calibri" w:cs="Calibri"/>
        </w:rPr>
        <w:t>επιβληθέντων</w:t>
      </w:r>
      <w:proofErr w:type="spellEnd"/>
      <w:r w:rsidR="00447EAC" w:rsidRPr="00A85203">
        <w:rPr>
          <w:rFonts w:ascii="Calibri" w:hAnsi="Calibri" w:cs="Calibri"/>
        </w:rPr>
        <w:t xml:space="preserve"> </w:t>
      </w:r>
      <w:r w:rsidRPr="00A85203">
        <w:rPr>
          <w:rFonts w:ascii="Calibri" w:hAnsi="Calibri" w:cs="Calibri"/>
        </w:rPr>
        <w:t xml:space="preserve"> </w:t>
      </w:r>
      <w:r w:rsidR="00C77D61" w:rsidRPr="00A85203">
        <w:rPr>
          <w:rFonts w:ascii="Calibri" w:hAnsi="Calibri" w:cs="Calibri"/>
        </w:rPr>
        <w:t xml:space="preserve">σε βάρος των </w:t>
      </w:r>
      <w:r w:rsidR="00167F98" w:rsidRPr="00A85203">
        <w:rPr>
          <w:rFonts w:ascii="Calibri" w:hAnsi="Calibri" w:cs="Calibri"/>
        </w:rPr>
        <w:t>Τ.Ε.Α.</w:t>
      </w:r>
      <w:r w:rsidR="00447EAC" w:rsidRPr="00A85203">
        <w:rPr>
          <w:rFonts w:ascii="Calibri" w:hAnsi="Calibri" w:cs="Calibri"/>
        </w:rPr>
        <w:t xml:space="preserve"> μέτρων </w:t>
      </w:r>
      <w:r w:rsidR="00C77D61" w:rsidRPr="00A85203">
        <w:rPr>
          <w:rFonts w:ascii="Calibri" w:hAnsi="Calibri" w:cs="Calibri"/>
        </w:rPr>
        <w:t>και</w:t>
      </w:r>
      <w:r w:rsidR="001E65EC" w:rsidRPr="00A85203">
        <w:rPr>
          <w:rFonts w:ascii="Calibri" w:hAnsi="Calibri" w:cs="Calibri"/>
        </w:rPr>
        <w:t xml:space="preserve"> </w:t>
      </w:r>
      <w:r w:rsidR="00D17C71" w:rsidRPr="00A85203">
        <w:rPr>
          <w:rFonts w:ascii="Calibri" w:hAnsi="Calibri" w:cs="Calibri"/>
        </w:rPr>
        <w:t>τον τρόπο</w:t>
      </w:r>
      <w:r w:rsidR="00C77D61" w:rsidRPr="00A85203">
        <w:rPr>
          <w:rFonts w:ascii="Calibri" w:hAnsi="Calibri" w:cs="Calibri"/>
        </w:rPr>
        <w:t xml:space="preserve"> που αυτά υλοποιήθηκαν</w:t>
      </w:r>
      <w:r w:rsidRPr="00A85203">
        <w:rPr>
          <w:rFonts w:ascii="Calibri" w:hAnsi="Calibri" w:cs="Calibri"/>
        </w:rPr>
        <w:t xml:space="preserve">, και </w:t>
      </w:r>
      <w:proofErr w:type="spellStart"/>
      <w:r w:rsidRPr="00A85203">
        <w:rPr>
          <w:rFonts w:ascii="Calibri" w:hAnsi="Calibri" w:cs="Calibri"/>
        </w:rPr>
        <w:t>επικαιροποιεί</w:t>
      </w:r>
      <w:proofErr w:type="spellEnd"/>
      <w:r w:rsidRPr="00A85203">
        <w:rPr>
          <w:rFonts w:ascii="Calibri" w:hAnsi="Calibri" w:cs="Calibri"/>
        </w:rPr>
        <w:t xml:space="preserve"> αναλόγως τα σχέδια εποπτικής δράσης της.</w:t>
      </w:r>
    </w:p>
    <w:p w14:paraId="65C303DF" w14:textId="77777777" w:rsidR="00BD7AD4" w:rsidRPr="00A85203" w:rsidRDefault="00BD7AD4" w:rsidP="00D16AFF">
      <w:pPr>
        <w:jc w:val="both"/>
        <w:rPr>
          <w:rFonts w:ascii="Calibri" w:hAnsi="Calibri" w:cs="Calibri"/>
        </w:rPr>
      </w:pPr>
    </w:p>
    <w:sectPr w:rsidR="00BD7AD4" w:rsidRPr="00A85203" w:rsidSect="008E3A69">
      <w:headerReference w:type="even" r:id="rId12"/>
      <w:footerReference w:type="default" r:id="rId13"/>
      <w:head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2818" w14:textId="77777777" w:rsidR="009B0360" w:rsidRDefault="009B0360">
      <w:r>
        <w:separator/>
      </w:r>
    </w:p>
  </w:endnote>
  <w:endnote w:type="continuationSeparator" w:id="0">
    <w:p w14:paraId="4E1EB253" w14:textId="77777777" w:rsidR="009B0360" w:rsidRDefault="009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972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A3CEA" w14:textId="1DD52189" w:rsidR="00A80B09" w:rsidRDefault="00212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A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CFD7D1" w14:textId="77777777" w:rsidR="00A80B09" w:rsidRDefault="00A8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BA9F" w14:textId="77777777" w:rsidR="009B0360" w:rsidRDefault="009B0360">
      <w:r>
        <w:separator/>
      </w:r>
    </w:p>
  </w:footnote>
  <w:footnote w:type="continuationSeparator" w:id="0">
    <w:p w14:paraId="4EFE5DD3" w14:textId="77777777" w:rsidR="009B0360" w:rsidRDefault="009B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FA1E" w14:textId="6A956A78" w:rsidR="00A80B09" w:rsidRDefault="00E6267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227230" wp14:editId="59AB33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749729650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08CA9" w14:textId="2BF0EC3D" w:rsidR="00E62676" w:rsidRPr="00E62676" w:rsidRDefault="00E62676" w:rsidP="00E62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26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272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0E108CA9" w14:textId="2BF0EC3D" w:rsidR="00E62676" w:rsidRPr="00E62676" w:rsidRDefault="00E62676" w:rsidP="00E626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26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3204" w14:textId="785A9346" w:rsidR="00A80B09" w:rsidRDefault="00E6267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D0E17C" wp14:editId="0BFBC9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144947049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78423" w14:textId="2E051FA9" w:rsidR="00E62676" w:rsidRPr="00E62676" w:rsidRDefault="00E62676" w:rsidP="00E62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26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0E1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ΠΕΡΙΟΡΙΣΜΕΝΗΣ ΕΣΩΤΕΡΙΚΗΣ ΔΙΑΝΟΜΗΣ           " style="position:absolute;margin-left:0;margin-top:0;width:168.9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" filled="f" stroked="f">
              <v:textbox style="mso-fit-shape-to-text:t" inset="0,15pt,0,0">
                <w:txbxContent>
                  <w:p w14:paraId="53278423" w14:textId="2E051FA9" w:rsidR="00E62676" w:rsidRPr="00E62676" w:rsidRDefault="00E62676" w:rsidP="00E626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26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995"/>
    <w:multiLevelType w:val="multilevel"/>
    <w:tmpl w:val="EA0ED48C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2B3288"/>
    <w:multiLevelType w:val="hybridMultilevel"/>
    <w:tmpl w:val="B92694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039"/>
    <w:multiLevelType w:val="hybridMultilevel"/>
    <w:tmpl w:val="1F0EAE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4EA8"/>
    <w:multiLevelType w:val="hybridMultilevel"/>
    <w:tmpl w:val="0A9EA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CEB"/>
    <w:multiLevelType w:val="multilevel"/>
    <w:tmpl w:val="6E84564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E22576E"/>
    <w:multiLevelType w:val="hybridMultilevel"/>
    <w:tmpl w:val="E7BA8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AF2"/>
    <w:multiLevelType w:val="hybridMultilevel"/>
    <w:tmpl w:val="36C2F9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2459"/>
    <w:multiLevelType w:val="hybridMultilevel"/>
    <w:tmpl w:val="65A00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47FD3"/>
    <w:multiLevelType w:val="hybridMultilevel"/>
    <w:tmpl w:val="771ABF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91985"/>
    <w:multiLevelType w:val="hybridMultilevel"/>
    <w:tmpl w:val="5AA4C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263F9"/>
    <w:multiLevelType w:val="multilevel"/>
    <w:tmpl w:val="0E540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D309B4"/>
    <w:multiLevelType w:val="hybridMultilevel"/>
    <w:tmpl w:val="BF92BE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20E9"/>
    <w:multiLevelType w:val="hybridMultilevel"/>
    <w:tmpl w:val="2C949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12632"/>
    <w:multiLevelType w:val="hybridMultilevel"/>
    <w:tmpl w:val="E65850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C4B"/>
    <w:multiLevelType w:val="multilevel"/>
    <w:tmpl w:val="4CDC1C24"/>
    <w:lvl w:ilvl="0">
      <w:start w:val="2"/>
      <w:numFmt w:val="decimal"/>
      <w:lvlText w:val="%1"/>
      <w:lvlJc w:val="left"/>
      <w:pPr>
        <w:ind w:left="582" w:hanging="4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4" w:hanging="44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5" w15:restartNumberingAfterBreak="0">
    <w:nsid w:val="2D071885"/>
    <w:multiLevelType w:val="hybridMultilevel"/>
    <w:tmpl w:val="F4004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E7FA7"/>
    <w:multiLevelType w:val="multilevel"/>
    <w:tmpl w:val="2FA8BB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323703"/>
    <w:multiLevelType w:val="hybridMultilevel"/>
    <w:tmpl w:val="243EA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25128"/>
    <w:multiLevelType w:val="hybridMultilevel"/>
    <w:tmpl w:val="4698C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5B8D"/>
    <w:multiLevelType w:val="hybridMultilevel"/>
    <w:tmpl w:val="B00A15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54F0"/>
    <w:multiLevelType w:val="multilevel"/>
    <w:tmpl w:val="DA14C3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B1436C"/>
    <w:multiLevelType w:val="hybridMultilevel"/>
    <w:tmpl w:val="671291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3027F"/>
    <w:multiLevelType w:val="hybridMultilevel"/>
    <w:tmpl w:val="A596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465"/>
    <w:multiLevelType w:val="hybridMultilevel"/>
    <w:tmpl w:val="0FEAF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115D7"/>
    <w:multiLevelType w:val="multilevel"/>
    <w:tmpl w:val="2270AF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5405AC"/>
    <w:multiLevelType w:val="multilevel"/>
    <w:tmpl w:val="67F0CD5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D96723"/>
    <w:multiLevelType w:val="hybridMultilevel"/>
    <w:tmpl w:val="84169F4A"/>
    <w:lvl w:ilvl="0" w:tplc="8F648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A15A7"/>
    <w:multiLevelType w:val="multilevel"/>
    <w:tmpl w:val="F6EA2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95E3A63"/>
    <w:multiLevelType w:val="hybridMultilevel"/>
    <w:tmpl w:val="A19C4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E6DDB"/>
    <w:multiLevelType w:val="multilevel"/>
    <w:tmpl w:val="B7A02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FE77F8"/>
    <w:multiLevelType w:val="hybridMultilevel"/>
    <w:tmpl w:val="0DA4C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E713E"/>
    <w:multiLevelType w:val="hybridMultilevel"/>
    <w:tmpl w:val="10608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E62BB"/>
    <w:multiLevelType w:val="multilevel"/>
    <w:tmpl w:val="8FEA7AD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E474BF"/>
    <w:multiLevelType w:val="hybridMultilevel"/>
    <w:tmpl w:val="10EC8B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A4B4C"/>
    <w:multiLevelType w:val="hybridMultilevel"/>
    <w:tmpl w:val="606C72FA"/>
    <w:lvl w:ilvl="0" w:tplc="6C1AB238">
      <w:start w:val="1"/>
      <w:numFmt w:val="upperRoman"/>
      <w:lvlText w:val="%1."/>
      <w:lvlJc w:val="right"/>
      <w:pPr>
        <w:ind w:left="774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5" w15:restartNumberingAfterBreak="0">
    <w:nsid w:val="7A1C5654"/>
    <w:multiLevelType w:val="hybridMultilevel"/>
    <w:tmpl w:val="5FFE0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5143B"/>
    <w:multiLevelType w:val="hybridMultilevel"/>
    <w:tmpl w:val="31D63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4119">
    <w:abstractNumId w:val="11"/>
  </w:num>
  <w:num w:numId="2" w16cid:durableId="418135850">
    <w:abstractNumId w:val="8"/>
  </w:num>
  <w:num w:numId="3" w16cid:durableId="214893269">
    <w:abstractNumId w:val="33"/>
  </w:num>
  <w:num w:numId="4" w16cid:durableId="2130778113">
    <w:abstractNumId w:val="23"/>
  </w:num>
  <w:num w:numId="5" w16cid:durableId="1248230169">
    <w:abstractNumId w:val="35"/>
  </w:num>
  <w:num w:numId="6" w16cid:durableId="151604526">
    <w:abstractNumId w:val="19"/>
  </w:num>
  <w:num w:numId="7" w16cid:durableId="58327381">
    <w:abstractNumId w:val="28"/>
  </w:num>
  <w:num w:numId="8" w16cid:durableId="444354292">
    <w:abstractNumId w:val="30"/>
  </w:num>
  <w:num w:numId="9" w16cid:durableId="129443577">
    <w:abstractNumId w:val="2"/>
  </w:num>
  <w:num w:numId="10" w16cid:durableId="688406661">
    <w:abstractNumId w:val="31"/>
  </w:num>
  <w:num w:numId="11" w16cid:durableId="2033650373">
    <w:abstractNumId w:val="1"/>
  </w:num>
  <w:num w:numId="12" w16cid:durableId="657265367">
    <w:abstractNumId w:val="21"/>
  </w:num>
  <w:num w:numId="13" w16cid:durableId="628896176">
    <w:abstractNumId w:val="7"/>
  </w:num>
  <w:num w:numId="14" w16cid:durableId="1841044454">
    <w:abstractNumId w:val="12"/>
  </w:num>
  <w:num w:numId="15" w16cid:durableId="284276">
    <w:abstractNumId w:val="22"/>
  </w:num>
  <w:num w:numId="16" w16cid:durableId="2108765528">
    <w:abstractNumId w:val="5"/>
  </w:num>
  <w:num w:numId="17" w16cid:durableId="1150974442">
    <w:abstractNumId w:val="15"/>
  </w:num>
  <w:num w:numId="18" w16cid:durableId="1988826428">
    <w:abstractNumId w:val="13"/>
  </w:num>
  <w:num w:numId="19" w16cid:durableId="980958600">
    <w:abstractNumId w:val="36"/>
  </w:num>
  <w:num w:numId="20" w16cid:durableId="751005777">
    <w:abstractNumId w:val="17"/>
  </w:num>
  <w:num w:numId="21" w16cid:durableId="453910029">
    <w:abstractNumId w:val="26"/>
  </w:num>
  <w:num w:numId="22" w16cid:durableId="782042840">
    <w:abstractNumId w:val="6"/>
  </w:num>
  <w:num w:numId="23" w16cid:durableId="1897231195">
    <w:abstractNumId w:val="18"/>
  </w:num>
  <w:num w:numId="24" w16cid:durableId="259025698">
    <w:abstractNumId w:val="3"/>
  </w:num>
  <w:num w:numId="25" w16cid:durableId="54283259">
    <w:abstractNumId w:val="10"/>
  </w:num>
  <w:num w:numId="26" w16cid:durableId="1396322084">
    <w:abstractNumId w:val="16"/>
  </w:num>
  <w:num w:numId="27" w16cid:durableId="1594849866">
    <w:abstractNumId w:val="20"/>
  </w:num>
  <w:num w:numId="28" w16cid:durableId="84767738">
    <w:abstractNumId w:val="9"/>
  </w:num>
  <w:num w:numId="29" w16cid:durableId="826558616">
    <w:abstractNumId w:val="29"/>
  </w:num>
  <w:num w:numId="30" w16cid:durableId="993531505">
    <w:abstractNumId w:val="27"/>
  </w:num>
  <w:num w:numId="31" w16cid:durableId="1844323626">
    <w:abstractNumId w:val="4"/>
  </w:num>
  <w:num w:numId="32" w16cid:durableId="807163318">
    <w:abstractNumId w:val="0"/>
  </w:num>
  <w:num w:numId="33" w16cid:durableId="1801846890">
    <w:abstractNumId w:val="14"/>
  </w:num>
  <w:num w:numId="34" w16cid:durableId="1480271486">
    <w:abstractNumId w:val="25"/>
  </w:num>
  <w:num w:numId="35" w16cid:durableId="2001689857">
    <w:abstractNumId w:val="34"/>
  </w:num>
  <w:num w:numId="36" w16cid:durableId="298193918">
    <w:abstractNumId w:val="32"/>
  </w:num>
  <w:num w:numId="37" w16cid:durableId="13106685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D4"/>
    <w:rsid w:val="0000126A"/>
    <w:rsid w:val="00001B32"/>
    <w:rsid w:val="00003F58"/>
    <w:rsid w:val="000079F3"/>
    <w:rsid w:val="00014ACE"/>
    <w:rsid w:val="00015829"/>
    <w:rsid w:val="0002220F"/>
    <w:rsid w:val="00024539"/>
    <w:rsid w:val="00034DC8"/>
    <w:rsid w:val="00045C9E"/>
    <w:rsid w:val="00046215"/>
    <w:rsid w:val="00046444"/>
    <w:rsid w:val="00056D80"/>
    <w:rsid w:val="000624BA"/>
    <w:rsid w:val="00064CD6"/>
    <w:rsid w:val="00067DD1"/>
    <w:rsid w:val="000707CC"/>
    <w:rsid w:val="000919DF"/>
    <w:rsid w:val="00095B02"/>
    <w:rsid w:val="0009755D"/>
    <w:rsid w:val="000B1282"/>
    <w:rsid w:val="000B6B53"/>
    <w:rsid w:val="000B7C09"/>
    <w:rsid w:val="000D5B72"/>
    <w:rsid w:val="000D7B11"/>
    <w:rsid w:val="000E57D7"/>
    <w:rsid w:val="000F6D76"/>
    <w:rsid w:val="00104BB0"/>
    <w:rsid w:val="00106B1D"/>
    <w:rsid w:val="00110B82"/>
    <w:rsid w:val="0011581D"/>
    <w:rsid w:val="00123C3B"/>
    <w:rsid w:val="00125233"/>
    <w:rsid w:val="00127B2B"/>
    <w:rsid w:val="00135E15"/>
    <w:rsid w:val="00155936"/>
    <w:rsid w:val="00157118"/>
    <w:rsid w:val="00162F26"/>
    <w:rsid w:val="00167F98"/>
    <w:rsid w:val="00171327"/>
    <w:rsid w:val="001837C2"/>
    <w:rsid w:val="0018781F"/>
    <w:rsid w:val="001A1567"/>
    <w:rsid w:val="001B1C56"/>
    <w:rsid w:val="001B3933"/>
    <w:rsid w:val="001D004B"/>
    <w:rsid w:val="001E65EC"/>
    <w:rsid w:val="002002DD"/>
    <w:rsid w:val="00212A3F"/>
    <w:rsid w:val="00213B73"/>
    <w:rsid w:val="00225FC3"/>
    <w:rsid w:val="00230DE5"/>
    <w:rsid w:val="0023330C"/>
    <w:rsid w:val="002367E2"/>
    <w:rsid w:val="00267BF9"/>
    <w:rsid w:val="00274A72"/>
    <w:rsid w:val="0028092A"/>
    <w:rsid w:val="0028306F"/>
    <w:rsid w:val="00284E2D"/>
    <w:rsid w:val="00285345"/>
    <w:rsid w:val="002931B3"/>
    <w:rsid w:val="00296DE7"/>
    <w:rsid w:val="002A0893"/>
    <w:rsid w:val="002A2D0B"/>
    <w:rsid w:val="002B29B4"/>
    <w:rsid w:val="002B5D85"/>
    <w:rsid w:val="002B615D"/>
    <w:rsid w:val="002C47B6"/>
    <w:rsid w:val="002C559F"/>
    <w:rsid w:val="002D53F3"/>
    <w:rsid w:val="002E5D8E"/>
    <w:rsid w:val="002E6223"/>
    <w:rsid w:val="002F727D"/>
    <w:rsid w:val="003066C8"/>
    <w:rsid w:val="00306A8D"/>
    <w:rsid w:val="003139BA"/>
    <w:rsid w:val="00316216"/>
    <w:rsid w:val="0032683C"/>
    <w:rsid w:val="00333C9F"/>
    <w:rsid w:val="00334F49"/>
    <w:rsid w:val="00337F10"/>
    <w:rsid w:val="00344821"/>
    <w:rsid w:val="00357441"/>
    <w:rsid w:val="003619E4"/>
    <w:rsid w:val="00363328"/>
    <w:rsid w:val="0036594F"/>
    <w:rsid w:val="00365BF1"/>
    <w:rsid w:val="003666AD"/>
    <w:rsid w:val="00382A60"/>
    <w:rsid w:val="003960D8"/>
    <w:rsid w:val="00397415"/>
    <w:rsid w:val="003A03A6"/>
    <w:rsid w:val="003A2BFF"/>
    <w:rsid w:val="003D328A"/>
    <w:rsid w:val="003E458E"/>
    <w:rsid w:val="004040A1"/>
    <w:rsid w:val="00407E8D"/>
    <w:rsid w:val="00414A5B"/>
    <w:rsid w:val="00416954"/>
    <w:rsid w:val="0042388F"/>
    <w:rsid w:val="00443DA5"/>
    <w:rsid w:val="004468C9"/>
    <w:rsid w:val="00447C53"/>
    <w:rsid w:val="00447EAC"/>
    <w:rsid w:val="00460A08"/>
    <w:rsid w:val="00460EAE"/>
    <w:rsid w:val="004627AE"/>
    <w:rsid w:val="0046463D"/>
    <w:rsid w:val="00472001"/>
    <w:rsid w:val="00481F08"/>
    <w:rsid w:val="00484995"/>
    <w:rsid w:val="00491FDC"/>
    <w:rsid w:val="0049722B"/>
    <w:rsid w:val="004A13E3"/>
    <w:rsid w:val="004B44C6"/>
    <w:rsid w:val="004E37F8"/>
    <w:rsid w:val="004F0EDE"/>
    <w:rsid w:val="004F1725"/>
    <w:rsid w:val="00510F2A"/>
    <w:rsid w:val="005373F7"/>
    <w:rsid w:val="00551D22"/>
    <w:rsid w:val="00555D1A"/>
    <w:rsid w:val="00556D60"/>
    <w:rsid w:val="00566408"/>
    <w:rsid w:val="00566D7A"/>
    <w:rsid w:val="005729DC"/>
    <w:rsid w:val="00582432"/>
    <w:rsid w:val="005872B4"/>
    <w:rsid w:val="0059271D"/>
    <w:rsid w:val="00595C72"/>
    <w:rsid w:val="005A1072"/>
    <w:rsid w:val="005A4095"/>
    <w:rsid w:val="005A4B23"/>
    <w:rsid w:val="005A64E8"/>
    <w:rsid w:val="005D29EA"/>
    <w:rsid w:val="005D7CD5"/>
    <w:rsid w:val="00606CB9"/>
    <w:rsid w:val="00613A5C"/>
    <w:rsid w:val="00624BF1"/>
    <w:rsid w:val="00636B9C"/>
    <w:rsid w:val="00641F7E"/>
    <w:rsid w:val="00644BC3"/>
    <w:rsid w:val="00650FE4"/>
    <w:rsid w:val="006664D7"/>
    <w:rsid w:val="00670416"/>
    <w:rsid w:val="00675B0F"/>
    <w:rsid w:val="00693443"/>
    <w:rsid w:val="006A00D2"/>
    <w:rsid w:val="006A7E06"/>
    <w:rsid w:val="006A7F25"/>
    <w:rsid w:val="006B56F2"/>
    <w:rsid w:val="006B5E2C"/>
    <w:rsid w:val="006C010F"/>
    <w:rsid w:val="006C1414"/>
    <w:rsid w:val="006D3B49"/>
    <w:rsid w:val="006E49F6"/>
    <w:rsid w:val="006E6DE8"/>
    <w:rsid w:val="006E7782"/>
    <w:rsid w:val="006F2BFC"/>
    <w:rsid w:val="00711469"/>
    <w:rsid w:val="00714D46"/>
    <w:rsid w:val="00715583"/>
    <w:rsid w:val="00732E68"/>
    <w:rsid w:val="00742EF2"/>
    <w:rsid w:val="00752170"/>
    <w:rsid w:val="00754821"/>
    <w:rsid w:val="00763C56"/>
    <w:rsid w:val="00766ECB"/>
    <w:rsid w:val="00767CFF"/>
    <w:rsid w:val="007758AC"/>
    <w:rsid w:val="0079044F"/>
    <w:rsid w:val="007A1880"/>
    <w:rsid w:val="007B529B"/>
    <w:rsid w:val="007C2ABF"/>
    <w:rsid w:val="007D149E"/>
    <w:rsid w:val="007E0DA5"/>
    <w:rsid w:val="007E1CEE"/>
    <w:rsid w:val="007E3FAE"/>
    <w:rsid w:val="007E510C"/>
    <w:rsid w:val="007F47D0"/>
    <w:rsid w:val="0080191C"/>
    <w:rsid w:val="0080373F"/>
    <w:rsid w:val="0080649E"/>
    <w:rsid w:val="00810453"/>
    <w:rsid w:val="0081167B"/>
    <w:rsid w:val="008116DB"/>
    <w:rsid w:val="0082440D"/>
    <w:rsid w:val="008472C6"/>
    <w:rsid w:val="0085650B"/>
    <w:rsid w:val="00874249"/>
    <w:rsid w:val="00874E31"/>
    <w:rsid w:val="0088326F"/>
    <w:rsid w:val="00884A48"/>
    <w:rsid w:val="008869C6"/>
    <w:rsid w:val="008942E4"/>
    <w:rsid w:val="008A7DA8"/>
    <w:rsid w:val="008B5237"/>
    <w:rsid w:val="008B79DF"/>
    <w:rsid w:val="008C1A2F"/>
    <w:rsid w:val="008D1F76"/>
    <w:rsid w:val="008D248E"/>
    <w:rsid w:val="008E238D"/>
    <w:rsid w:val="008E5FA1"/>
    <w:rsid w:val="008F60C6"/>
    <w:rsid w:val="0090065D"/>
    <w:rsid w:val="009030B4"/>
    <w:rsid w:val="009113DC"/>
    <w:rsid w:val="00911B57"/>
    <w:rsid w:val="009315D7"/>
    <w:rsid w:val="00940DA4"/>
    <w:rsid w:val="0094152E"/>
    <w:rsid w:val="00941E43"/>
    <w:rsid w:val="009511C7"/>
    <w:rsid w:val="00964A4A"/>
    <w:rsid w:val="00964A8D"/>
    <w:rsid w:val="0097286F"/>
    <w:rsid w:val="00996736"/>
    <w:rsid w:val="009A1405"/>
    <w:rsid w:val="009A42F2"/>
    <w:rsid w:val="009B0360"/>
    <w:rsid w:val="009B355D"/>
    <w:rsid w:val="009C6A3E"/>
    <w:rsid w:val="009D7C05"/>
    <w:rsid w:val="009E0F04"/>
    <w:rsid w:val="009E3F2D"/>
    <w:rsid w:val="009F4B1B"/>
    <w:rsid w:val="00A00701"/>
    <w:rsid w:val="00A01C28"/>
    <w:rsid w:val="00A2108E"/>
    <w:rsid w:val="00A22D9F"/>
    <w:rsid w:val="00A3030F"/>
    <w:rsid w:val="00A36E21"/>
    <w:rsid w:val="00A44CB0"/>
    <w:rsid w:val="00A5178F"/>
    <w:rsid w:val="00A53139"/>
    <w:rsid w:val="00A569DE"/>
    <w:rsid w:val="00A64B39"/>
    <w:rsid w:val="00A677D5"/>
    <w:rsid w:val="00A80B09"/>
    <w:rsid w:val="00A85203"/>
    <w:rsid w:val="00A95424"/>
    <w:rsid w:val="00AA031E"/>
    <w:rsid w:val="00AA19A0"/>
    <w:rsid w:val="00AA76D6"/>
    <w:rsid w:val="00AB44D5"/>
    <w:rsid w:val="00AE2A72"/>
    <w:rsid w:val="00AF2597"/>
    <w:rsid w:val="00AF3051"/>
    <w:rsid w:val="00AF6FEE"/>
    <w:rsid w:val="00B0125D"/>
    <w:rsid w:val="00B064A0"/>
    <w:rsid w:val="00B154DA"/>
    <w:rsid w:val="00B1707B"/>
    <w:rsid w:val="00B23B2F"/>
    <w:rsid w:val="00B440CC"/>
    <w:rsid w:val="00B5408C"/>
    <w:rsid w:val="00B60D4A"/>
    <w:rsid w:val="00B70FEE"/>
    <w:rsid w:val="00B75BA1"/>
    <w:rsid w:val="00B845AE"/>
    <w:rsid w:val="00B849F1"/>
    <w:rsid w:val="00B91BC1"/>
    <w:rsid w:val="00B95E16"/>
    <w:rsid w:val="00BB08AE"/>
    <w:rsid w:val="00BC7FFC"/>
    <w:rsid w:val="00BD7AD4"/>
    <w:rsid w:val="00C02AAB"/>
    <w:rsid w:val="00C07EC6"/>
    <w:rsid w:val="00C23A2A"/>
    <w:rsid w:val="00C35D61"/>
    <w:rsid w:val="00C4727C"/>
    <w:rsid w:val="00C47784"/>
    <w:rsid w:val="00C513A2"/>
    <w:rsid w:val="00C527C4"/>
    <w:rsid w:val="00C53B56"/>
    <w:rsid w:val="00C609CF"/>
    <w:rsid w:val="00C72821"/>
    <w:rsid w:val="00C77D61"/>
    <w:rsid w:val="00C84EA6"/>
    <w:rsid w:val="00C868F6"/>
    <w:rsid w:val="00CA07D1"/>
    <w:rsid w:val="00CA29E2"/>
    <w:rsid w:val="00CA7583"/>
    <w:rsid w:val="00CC6A13"/>
    <w:rsid w:val="00CD2AAD"/>
    <w:rsid w:val="00CF14D2"/>
    <w:rsid w:val="00CF48A3"/>
    <w:rsid w:val="00D15183"/>
    <w:rsid w:val="00D16AFF"/>
    <w:rsid w:val="00D17C71"/>
    <w:rsid w:val="00D22B74"/>
    <w:rsid w:val="00D23BCD"/>
    <w:rsid w:val="00D32AC4"/>
    <w:rsid w:val="00D35463"/>
    <w:rsid w:val="00D442C6"/>
    <w:rsid w:val="00D4590E"/>
    <w:rsid w:val="00D46B35"/>
    <w:rsid w:val="00D50EEC"/>
    <w:rsid w:val="00D513D9"/>
    <w:rsid w:val="00D63669"/>
    <w:rsid w:val="00D663CA"/>
    <w:rsid w:val="00D70379"/>
    <w:rsid w:val="00D861E6"/>
    <w:rsid w:val="00D87E1B"/>
    <w:rsid w:val="00DA051C"/>
    <w:rsid w:val="00DC29A5"/>
    <w:rsid w:val="00DD1133"/>
    <w:rsid w:val="00DD1975"/>
    <w:rsid w:val="00DD338D"/>
    <w:rsid w:val="00DE0D67"/>
    <w:rsid w:val="00DE34AF"/>
    <w:rsid w:val="00DF3CD3"/>
    <w:rsid w:val="00E05729"/>
    <w:rsid w:val="00E10802"/>
    <w:rsid w:val="00E150CF"/>
    <w:rsid w:val="00E21402"/>
    <w:rsid w:val="00E22CA8"/>
    <w:rsid w:val="00E25363"/>
    <w:rsid w:val="00E36A82"/>
    <w:rsid w:val="00E62676"/>
    <w:rsid w:val="00E70F15"/>
    <w:rsid w:val="00E77140"/>
    <w:rsid w:val="00E86F68"/>
    <w:rsid w:val="00E91505"/>
    <w:rsid w:val="00EA2106"/>
    <w:rsid w:val="00EA2DAB"/>
    <w:rsid w:val="00EB3CB2"/>
    <w:rsid w:val="00EB49D7"/>
    <w:rsid w:val="00EB7F60"/>
    <w:rsid w:val="00EE4819"/>
    <w:rsid w:val="00EE64DA"/>
    <w:rsid w:val="00EF04F1"/>
    <w:rsid w:val="00F0145B"/>
    <w:rsid w:val="00F020A2"/>
    <w:rsid w:val="00F36F88"/>
    <w:rsid w:val="00F37635"/>
    <w:rsid w:val="00F463A8"/>
    <w:rsid w:val="00F470AD"/>
    <w:rsid w:val="00F75137"/>
    <w:rsid w:val="00F8228B"/>
    <w:rsid w:val="00F84889"/>
    <w:rsid w:val="00F93199"/>
    <w:rsid w:val="00FA6FD1"/>
    <w:rsid w:val="00FD16F4"/>
    <w:rsid w:val="014FC2C6"/>
    <w:rsid w:val="05DA4748"/>
    <w:rsid w:val="06B9B186"/>
    <w:rsid w:val="0BE18029"/>
    <w:rsid w:val="0E39C129"/>
    <w:rsid w:val="0E848C8F"/>
    <w:rsid w:val="0EA0DA7B"/>
    <w:rsid w:val="1171DCF5"/>
    <w:rsid w:val="12C9A3E7"/>
    <w:rsid w:val="134BC3C8"/>
    <w:rsid w:val="1DC206F7"/>
    <w:rsid w:val="1F7D06D1"/>
    <w:rsid w:val="203107E5"/>
    <w:rsid w:val="22B6197D"/>
    <w:rsid w:val="26CF7EBB"/>
    <w:rsid w:val="273B99A7"/>
    <w:rsid w:val="27B2B920"/>
    <w:rsid w:val="2A91D8C1"/>
    <w:rsid w:val="2B63A133"/>
    <w:rsid w:val="2BAD72A1"/>
    <w:rsid w:val="2CC7241F"/>
    <w:rsid w:val="2CF8F839"/>
    <w:rsid w:val="2E615411"/>
    <w:rsid w:val="345F42A9"/>
    <w:rsid w:val="3C25B4A7"/>
    <w:rsid w:val="3E216B37"/>
    <w:rsid w:val="48D4EBA5"/>
    <w:rsid w:val="4D854834"/>
    <w:rsid w:val="4E434048"/>
    <w:rsid w:val="5206FB14"/>
    <w:rsid w:val="54720363"/>
    <w:rsid w:val="5A1ECDA2"/>
    <w:rsid w:val="5C099E85"/>
    <w:rsid w:val="65B18F4A"/>
    <w:rsid w:val="6A7E5812"/>
    <w:rsid w:val="6A96B621"/>
    <w:rsid w:val="6B5D4BDD"/>
    <w:rsid w:val="6E2CBD55"/>
    <w:rsid w:val="6F966C04"/>
    <w:rsid w:val="700529EF"/>
    <w:rsid w:val="7326BDBF"/>
    <w:rsid w:val="74DC0352"/>
    <w:rsid w:val="77E3296E"/>
    <w:rsid w:val="78B1ABE5"/>
    <w:rsid w:val="7E7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7EDD"/>
  <w15:docId w15:val="{CBCB77F7-9DAF-4C24-8FB5-15352D7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D7AD4"/>
    <w:pPr>
      <w:keepNext/>
      <w:ind w:left="180"/>
      <w:jc w:val="both"/>
      <w:outlineLvl w:val="2"/>
    </w:pPr>
    <w:rPr>
      <w:u w:val="single"/>
      <w:lang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7AD4"/>
    <w:rPr>
      <w:rFonts w:ascii="Times New Roman" w:eastAsia="Times New Roman" w:hAnsi="Times New Roman" w:cs="Times New Roman"/>
      <w:sz w:val="24"/>
      <w:szCs w:val="24"/>
      <w:u w:val="single"/>
      <w:lang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D4"/>
    <w:rPr>
      <w:rFonts w:ascii="Tahoma" w:eastAsia="Times New Roman" w:hAnsi="Tahoma" w:cs="Tahoma"/>
      <w:sz w:val="16"/>
      <w:szCs w:val="16"/>
      <w:lang w:eastAsia="el-GR"/>
    </w:rPr>
  </w:style>
  <w:style w:type="character" w:styleId="CommentReference">
    <w:name w:val="annotation reference"/>
    <w:semiHidden/>
    <w:rsid w:val="00BD7A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7AD4"/>
    <w:rPr>
      <w:sz w:val="20"/>
      <w:szCs w:val="20"/>
      <w:lang w:bidi="el-GR"/>
    </w:rPr>
  </w:style>
  <w:style w:type="character" w:customStyle="1" w:styleId="CommentTextChar">
    <w:name w:val="Comment Text Char"/>
    <w:basedOn w:val="DefaultParagraphFont"/>
    <w:link w:val="CommentText"/>
    <w:semiHidden/>
    <w:rsid w:val="00BD7AD4"/>
    <w:rPr>
      <w:rFonts w:ascii="Times New Roman" w:eastAsia="Times New Roman" w:hAnsi="Times New Roman" w:cs="Times New Roman"/>
      <w:sz w:val="20"/>
      <w:szCs w:val="20"/>
      <w:lang w:eastAsia="el-GR" w:bidi="el-GR"/>
    </w:rPr>
  </w:style>
  <w:style w:type="paragraph" w:styleId="ListParagraph">
    <w:name w:val="List Paragraph"/>
    <w:basedOn w:val="Normal"/>
    <w:link w:val="ListParagraphChar"/>
    <w:uiPriority w:val="34"/>
    <w:qFormat/>
    <w:rsid w:val="00BD7AD4"/>
    <w:pPr>
      <w:ind w:left="708"/>
    </w:pPr>
    <w:rPr>
      <w:lang w:bidi="el-GR"/>
    </w:rPr>
  </w:style>
  <w:style w:type="character" w:customStyle="1" w:styleId="ListParagraphChar">
    <w:name w:val="List Paragraph Char"/>
    <w:link w:val="ListParagraph"/>
    <w:uiPriority w:val="34"/>
    <w:locked/>
    <w:rsid w:val="00BD7AD4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Footer">
    <w:name w:val="footer"/>
    <w:aliases w:val="Fußzeile Verdana 8p Regular,Mittelachse"/>
    <w:basedOn w:val="Normal"/>
    <w:link w:val="FooterChar"/>
    <w:uiPriority w:val="99"/>
    <w:qFormat/>
    <w:rsid w:val="00BD7AD4"/>
    <w:pPr>
      <w:tabs>
        <w:tab w:val="center" w:pos="4153"/>
        <w:tab w:val="right" w:pos="8306"/>
      </w:tabs>
    </w:pPr>
    <w:rPr>
      <w:lang w:bidi="el-GR"/>
    </w:rPr>
  </w:style>
  <w:style w:type="character" w:customStyle="1" w:styleId="FooterChar">
    <w:name w:val="Footer Char"/>
    <w:aliases w:val="Fußzeile Verdana 8p Regular Char,Mittelachse Char"/>
    <w:basedOn w:val="DefaultParagraphFont"/>
    <w:link w:val="Footer"/>
    <w:uiPriority w:val="99"/>
    <w:rsid w:val="00BD7AD4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D4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D4"/>
    <w:rPr>
      <w:rFonts w:ascii="Times New Roman" w:eastAsia="Times New Roman" w:hAnsi="Times New Roman" w:cs="Times New Roman"/>
      <w:b/>
      <w:bCs/>
      <w:sz w:val="20"/>
      <w:szCs w:val="20"/>
      <w:lang w:eastAsia="el-GR" w:bidi="el-GR"/>
    </w:rPr>
  </w:style>
  <w:style w:type="paragraph" w:styleId="Header">
    <w:name w:val="header"/>
    <w:basedOn w:val="Normal"/>
    <w:link w:val="HeaderChar"/>
    <w:uiPriority w:val="99"/>
    <w:unhideWhenUsed/>
    <w:rsid w:val="00BD7A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AD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Revision">
    <w:name w:val="Revision"/>
    <w:hidden/>
    <w:uiPriority w:val="99"/>
    <w:semiHidden/>
    <w:rsid w:val="00BD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2A2D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2A2D0B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A2D0B"/>
    <w:rPr>
      <w:rFonts w:ascii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unhideWhenUsed/>
    <w:rsid w:val="00212A3F"/>
    <w:pPr>
      <w:ind w:right="-483"/>
      <w:jc w:val="both"/>
    </w:pPr>
    <w:rPr>
      <w:rFonts w:ascii="Garamond" w:hAnsi="Garamond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12A3F"/>
    <w:rPr>
      <w:rFonts w:ascii="Garamond" w:eastAsia="Times New Roman" w:hAnsi="Garamond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2C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22C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customStyle="1" w:styleId="cf01">
    <w:name w:val="cf01"/>
    <w:basedOn w:val="DefaultParagraphFont"/>
    <w:rsid w:val="001D004B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1D004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1D004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2024-12-18T11:16:00+00:00</ContentDate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Διαδικασία Εποπτικής Αξιολόγησης ΤΕΑ</TitleBackup>
    <AlternateText xmlns="a029a951-197a-4454-90a0-4e8ba8bb2239" xsi:nil="true"/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Διαδικασία Εποπτικής Αξιολόγησης ΤΕΑ</DisplayTitle>
    <OrganizationalUnit xmlns="8e878111-5d44-4ac0-8d7d-001e9b3d0fd0">40</OrganizationalUnit>
    <ShowInContentGroups xmlns="a029a951-197a-4454-90a0-4e8ba8bb2239">
      <Value>1192</Value>
    </ShowInContentGroups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2024-12-20T08:57:13+00:00</AModified>
    <AID xmlns="a029a951-197a-4454-90a0-4e8ba8bb2239">32096</AID>
    <ACreated xmlns="a029a951-197a-4454-90a0-4e8ba8bb2239">2024-12-17T10:26:02+00:00</ACreated>
    <ACreatedBy xmlns="a029a951-197a-4454-90a0-4e8ba8bb2239">Gourna Maria Aliki</ACreatedBy>
    <AVersion xmlns="a029a951-197a-4454-90a0-4e8ba8bb2239">3.0</AVersion>
  </documentManagement>
</p:properties>
</file>

<file path=customXml/item4.xml><?xml version="1.0" encoding="utf-8"?>
<?mso-contentType ?>
<DocAve xmlns="http://www.AvePoint.com/sharepoint2007/v5/contenttype/list" CTID="0x010100E8F95B0745D5A8479B6CF778B0E78F7B00E0C6EB74FE33EA41B45C653347650CB4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EAEA-4C64-4455-B616-0A97AEC04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C4DC3-18F3-4E48-B7A3-76001FB7E3C3}"/>
</file>

<file path=customXml/itemProps3.xml><?xml version="1.0" encoding="utf-8"?>
<ds:datastoreItem xmlns:ds="http://schemas.openxmlformats.org/officeDocument/2006/customXml" ds:itemID="{20B1DF81-C49B-4E46-82C1-D28DC0B782E6}">
  <ds:schemaRefs>
    <ds:schemaRef ds:uri="http://schemas.microsoft.com/office/2006/metadata/properties"/>
    <ds:schemaRef ds:uri="69e4f59e-94ce-4f03-8c9a-02a014ca30ef"/>
    <ds:schemaRef ds:uri="718c82af-c391-4316-a517-f2a3bcfdcaaf"/>
  </ds:schemaRefs>
</ds:datastoreItem>
</file>

<file path=customXml/itemProps4.xml><?xml version="1.0" encoding="utf-8"?>
<ds:datastoreItem xmlns:ds="http://schemas.openxmlformats.org/officeDocument/2006/customXml" ds:itemID="{DAD23834-377E-481C-8FE7-52AC355DAC91}">
  <ds:schemaRefs>
    <ds:schemaRef ds:uri="http://www.AvePoint.com/sharepoint2007/v5/contenttype/list"/>
  </ds:schemaRefs>
</ds:datastoreItem>
</file>

<file path=customXml/itemProps5.xml><?xml version="1.0" encoding="utf-8"?>
<ds:datastoreItem xmlns:ds="http://schemas.openxmlformats.org/officeDocument/2006/customXml" ds:itemID="{D64F954B-1B15-4B90-85CF-8C587CD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2038</Words>
  <Characters>11006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site_ΔΙΑΔΙΚΑΣΙΑ_ΕΠΟΠΤΙΚΗΣ_ΑΞΙΟΛΟΓΗΣΗΣ</vt:lpstr>
    </vt:vector>
  </TitlesOfParts>
  <Company>Bank of Greece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Διαδικασία Εποπτικής Αξιολόγησης ΤΕΑ</dc:title>
  <dc:creator>Mersinis Themistoklis</dc:creator>
  <dc:description/>
  <cp:lastModifiedBy>Sofia Alexopoulou</cp:lastModifiedBy>
  <cp:revision>9</cp:revision>
  <cp:lastPrinted>2019-08-20T12:45:00Z</cp:lastPrinted>
  <dcterms:created xsi:type="dcterms:W3CDTF">2024-12-17T10:08:00Z</dcterms:created>
  <dcterms:modified xsi:type="dcterms:W3CDTF">2024-12-18T06:07:00Z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ClassificationContentMarkingHeaderShapeIds">
    <vt:lpwstr>443e8169,684ac172,3d531b66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ΠΕΡΙΟΡΙΣΜΕΝΗΣ ΕΣΩΤΕΡΙΚΗΣ ΔΙΑΝΟΜΗΣ           </vt:lpwstr>
  </property>
  <property fmtid="{D5CDD505-2E9C-101B-9397-08002B2CF9AE}" pid="6" name="MSIP_Label_8666ca18-1a45-4cba-8d0e-5e071d9cfdfd_Enabled">
    <vt:lpwstr>true</vt:lpwstr>
  </property>
  <property fmtid="{D5CDD505-2E9C-101B-9397-08002B2CF9AE}" pid="7" name="MSIP_Label_8666ca18-1a45-4cba-8d0e-5e071d9cfdfd_SetDate">
    <vt:lpwstr>2024-11-28T10:44:27Z</vt:lpwstr>
  </property>
  <property fmtid="{D5CDD505-2E9C-101B-9397-08002B2CF9AE}" pid="8" name="MSIP_Label_8666ca18-1a45-4cba-8d0e-5e071d9cfdfd_Method">
    <vt:lpwstr>Privileged</vt:lpwstr>
  </property>
  <property fmtid="{D5CDD505-2E9C-101B-9397-08002B2CF9AE}" pid="9" name="MSIP_Label_8666ca18-1a45-4cba-8d0e-5e071d9cfdfd_Name">
    <vt:lpwstr>ΠΕΡΙΟΡΙΣΜΕΝΗΣ ΕΣΩΤΕΡΙΚΗΣ ΔΙΑΝΟΜΗΣ</vt:lpwstr>
  </property>
  <property fmtid="{D5CDD505-2E9C-101B-9397-08002B2CF9AE}" pid="10" name="MSIP_Label_8666ca18-1a45-4cba-8d0e-5e071d9cfdfd_SiteId">
    <vt:lpwstr>dabae695-3d3b-4e5d-ab49-009605ba5c68</vt:lpwstr>
  </property>
  <property fmtid="{D5CDD505-2E9C-101B-9397-08002B2CF9AE}" pid="11" name="MSIP_Label_8666ca18-1a45-4cba-8d0e-5e071d9cfdfd_ActionId">
    <vt:lpwstr>a1f3a69d-67f0-48ce-ba49-0d80dc7c6080</vt:lpwstr>
  </property>
  <property fmtid="{D5CDD505-2E9C-101B-9397-08002B2CF9AE}" pid="12" name="MSIP_Label_8666ca18-1a45-4cba-8d0e-5e071d9cfdfd_ContentBits">
    <vt:lpwstr>1</vt:lpwstr>
  </property>
  <property fmtid="{D5CDD505-2E9C-101B-9397-08002B2CF9AE}" pid="13" name="Order">
    <vt:r8>3209600</vt:r8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</Properties>
</file>